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BB17" w14:textId="389D11A3" w:rsidR="009812F4" w:rsidRPr="00C3795A" w:rsidRDefault="009812F4" w:rsidP="009812F4">
      <w:pPr>
        <w:jc w:val="right"/>
        <w:rPr>
          <w:rFonts w:ascii="Arial" w:hAnsi="Arial" w:cs="Arial"/>
          <w:sz w:val="18"/>
          <w:szCs w:val="18"/>
        </w:rPr>
      </w:pPr>
      <w:r w:rsidRPr="00C3795A">
        <w:rPr>
          <w:rFonts w:ascii="Arial" w:eastAsia="Arial" w:hAnsi="Arial" w:cs="Arial"/>
          <w:sz w:val="18"/>
          <w:szCs w:val="18"/>
          <w:lang w:bidi="fr-FR"/>
        </w:rPr>
        <w:t>Jeudi 9 octobre</w:t>
      </w:r>
    </w:p>
    <w:p w14:paraId="71C19808" w14:textId="5530001A" w:rsidR="009812F4" w:rsidRPr="00C3795A" w:rsidRDefault="009812F4" w:rsidP="009812F4">
      <w:pPr>
        <w:rPr>
          <w:rFonts w:ascii="Arial" w:hAnsi="Arial" w:cs="Arial"/>
          <w:sz w:val="22"/>
          <w:szCs w:val="22"/>
        </w:rPr>
      </w:pPr>
      <w:r w:rsidRPr="00C3795A">
        <w:rPr>
          <w:rFonts w:ascii="Arial" w:eastAsia="Arial" w:hAnsi="Arial" w:cs="Arial"/>
          <w:sz w:val="22"/>
          <w:szCs w:val="22"/>
          <w:highlight w:val="yellow"/>
          <w:lang w:bidi="fr-FR"/>
        </w:rPr>
        <w:t>SOUS EMBARGO STRICT JUSQU’AU JEUDI 9 OCTOBRE 2025 00:01</w:t>
      </w:r>
    </w:p>
    <w:p w14:paraId="2503E954" w14:textId="72D7C5C8" w:rsidR="009812F4" w:rsidRPr="00C3795A" w:rsidRDefault="00917544" w:rsidP="009812F4">
      <w:pPr>
        <w:rPr>
          <w:rFonts w:ascii="Arial" w:hAnsi="Arial" w:cs="Arial"/>
          <w:i/>
          <w:iCs/>
          <w:sz w:val="18"/>
          <w:szCs w:val="18"/>
        </w:rPr>
      </w:pPr>
      <w:r w:rsidRPr="00C3795A">
        <w:rPr>
          <w:rFonts w:ascii="Arial" w:eastAsia="Arial" w:hAnsi="Arial" w:cs="Arial"/>
          <w:b/>
          <w:sz w:val="22"/>
          <w:szCs w:val="22"/>
          <w:lang w:bidi="fr-FR"/>
        </w:rPr>
        <w:t>AU BORD DU GOUFFRE : LES EMPLOIS ET LA CROISSANCE DE L’INDUSTRIE CHIMIQUE EUROPÉENNE EN PÉRIL. UN RAPPORT D’OXFORD ECONOMICS</w:t>
      </w:r>
      <w:r w:rsidRPr="00C3795A">
        <w:rPr>
          <w:rFonts w:ascii="Arial" w:eastAsia="Arial" w:hAnsi="Arial" w:cs="Arial"/>
          <w:i/>
          <w:sz w:val="18"/>
          <w:szCs w:val="18"/>
          <w:lang w:bidi="fr-FR"/>
        </w:rPr>
        <w:t xml:space="preserve"> </w:t>
      </w:r>
    </w:p>
    <w:p w14:paraId="584709C2" w14:textId="5AEBD980" w:rsidR="009544F7" w:rsidRPr="00C3795A" w:rsidRDefault="0013676C" w:rsidP="009812F4">
      <w:pPr>
        <w:rPr>
          <w:rFonts w:ascii="Arial" w:hAnsi="Arial" w:cs="Arial"/>
          <w:sz w:val="18"/>
          <w:szCs w:val="18"/>
        </w:rPr>
      </w:pPr>
      <w:r w:rsidRPr="00C3795A">
        <w:rPr>
          <w:rFonts w:ascii="Arial" w:eastAsia="Arial" w:hAnsi="Arial" w:cs="Arial"/>
          <w:i/>
          <w:sz w:val="18"/>
          <w:szCs w:val="18"/>
          <w:lang w:bidi="fr-FR"/>
        </w:rPr>
        <w:t>Enseignements et données clés</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7"/>
        <w:gridCol w:w="7326"/>
      </w:tblGrid>
      <w:tr w:rsidR="009812F4" w:rsidRPr="00C3795A" w14:paraId="4112B93E" w14:textId="77777777" w:rsidTr="009812F4">
        <w:tc>
          <w:tcPr>
            <w:tcW w:w="2557" w:type="dxa"/>
          </w:tcPr>
          <w:p w14:paraId="6AF1C7B0" w14:textId="0588FC66" w:rsidR="009812F4" w:rsidRPr="00C3795A" w:rsidRDefault="009812F4" w:rsidP="009812F4">
            <w:pPr>
              <w:rPr>
                <w:rFonts w:ascii="Arial" w:hAnsi="Arial" w:cs="Arial"/>
                <w:b/>
                <w:bCs/>
                <w:sz w:val="18"/>
                <w:szCs w:val="18"/>
              </w:rPr>
            </w:pPr>
            <w:r w:rsidRPr="00C3795A">
              <w:rPr>
                <w:rFonts w:ascii="Arial" w:eastAsia="Arial" w:hAnsi="Arial" w:cs="Arial"/>
                <w:b/>
                <w:noProof/>
                <w:sz w:val="18"/>
                <w:szCs w:val="18"/>
                <w:lang w:bidi="fr-FR"/>
              </w:rPr>
              <w:drawing>
                <wp:anchor distT="0" distB="0" distL="114300" distR="114300" simplePos="0" relativeHeight="251659264" behindDoc="0" locked="0" layoutInCell="1" allowOverlap="1" wp14:anchorId="734778DE" wp14:editId="5833DF52">
                  <wp:simplePos x="0" y="0"/>
                  <wp:positionH relativeFrom="column">
                    <wp:posOffset>-3810</wp:posOffset>
                  </wp:positionH>
                  <wp:positionV relativeFrom="paragraph">
                    <wp:posOffset>198120</wp:posOffset>
                  </wp:positionV>
                  <wp:extent cx="1294613" cy="361880"/>
                  <wp:effectExtent l="0" t="0" r="1270" b="635"/>
                  <wp:wrapNone/>
                  <wp:docPr id="13113043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304313" name=""/>
                          <pic:cNvPicPr/>
                        </pic:nvPicPr>
                        <pic:blipFill>
                          <a:blip r:embed="rId11">
                            <a:extLst>
                              <a:ext uri="{28A0092B-C50C-407E-A947-70E740481C1C}">
                                <a14:useLocalDpi xmlns:a14="http://schemas.microsoft.com/office/drawing/2010/main" val="0"/>
                              </a:ext>
                            </a:extLst>
                          </a:blip>
                          <a:stretch>
                            <a:fillRect/>
                          </a:stretch>
                        </pic:blipFill>
                        <pic:spPr>
                          <a:xfrm>
                            <a:off x="0" y="0"/>
                            <a:ext cx="1327337" cy="371027"/>
                          </a:xfrm>
                          <a:prstGeom prst="rect">
                            <a:avLst/>
                          </a:prstGeom>
                        </pic:spPr>
                      </pic:pic>
                    </a:graphicData>
                  </a:graphic>
                  <wp14:sizeRelH relativeFrom="margin">
                    <wp14:pctWidth>0</wp14:pctWidth>
                  </wp14:sizeRelH>
                  <wp14:sizeRelV relativeFrom="margin">
                    <wp14:pctHeight>0</wp14:pctHeight>
                  </wp14:sizeRelV>
                </wp:anchor>
              </w:drawing>
            </w:r>
          </w:p>
        </w:tc>
        <w:tc>
          <w:tcPr>
            <w:tcW w:w="7326" w:type="dxa"/>
          </w:tcPr>
          <w:p w14:paraId="501C4449" w14:textId="77777777" w:rsidR="009812F4" w:rsidRPr="00C3795A" w:rsidRDefault="009812F4" w:rsidP="009812F4">
            <w:pPr>
              <w:rPr>
                <w:rFonts w:ascii="Arial" w:hAnsi="Arial" w:cs="Arial"/>
                <w:sz w:val="18"/>
                <w:szCs w:val="18"/>
              </w:rPr>
            </w:pPr>
            <w:r w:rsidRPr="00C3795A">
              <w:rPr>
                <w:rFonts w:ascii="Arial" w:eastAsia="Times New Roman" w:hAnsi="Arial" w:cs="Arial"/>
                <w:b/>
                <w:color w:val="000000"/>
                <w:kern w:val="0"/>
                <w:sz w:val="18"/>
                <w:szCs w:val="18"/>
                <w:lang w:bidi="fr-FR"/>
                <w14:ligatures w14:val="none"/>
              </w:rPr>
              <w:t xml:space="preserve">Jeremy Leonard, directeur général des Services mondiaux aux industries chez Oxford </w:t>
            </w:r>
            <w:proofErr w:type="spellStart"/>
            <w:r w:rsidRPr="00C3795A">
              <w:rPr>
                <w:rFonts w:ascii="Arial" w:eastAsia="Times New Roman" w:hAnsi="Arial" w:cs="Arial"/>
                <w:b/>
                <w:color w:val="000000"/>
                <w:kern w:val="0"/>
                <w:sz w:val="18"/>
                <w:szCs w:val="18"/>
                <w:lang w:bidi="fr-FR"/>
                <w14:ligatures w14:val="none"/>
              </w:rPr>
              <w:t>Economics</w:t>
            </w:r>
            <w:proofErr w:type="spellEnd"/>
            <w:r w:rsidRPr="00C3795A">
              <w:rPr>
                <w:rFonts w:ascii="Arial" w:eastAsia="Times New Roman" w:hAnsi="Arial" w:cs="Arial"/>
                <w:color w:val="000000"/>
                <w:kern w:val="0"/>
                <w:sz w:val="18"/>
                <w:szCs w:val="18"/>
                <w:lang w:bidi="fr-FR"/>
                <w14:ligatures w14:val="none"/>
              </w:rPr>
              <w:t xml:space="preserve"> : </w:t>
            </w:r>
            <w:r w:rsidRPr="00C3795A">
              <w:rPr>
                <w:rFonts w:ascii="Arial" w:eastAsia="Times New Roman" w:hAnsi="Arial" w:cs="Arial"/>
                <w:i/>
                <w:color w:val="000000"/>
                <w:kern w:val="0"/>
                <w:sz w:val="18"/>
                <w:szCs w:val="18"/>
                <w:lang w:bidi="fr-FR"/>
                <w14:ligatures w14:val="none"/>
              </w:rPr>
              <w:t>« Ce rapport met en évidence les tensions subies par l’industrie chimique européenne. L’association du coût élevé de l’énergie, de contraintes réglementaires, des droits de douane américains et d’une surcapacité mondiale tirée par la Chine nuit lourdement à la compétitivité des producteurs européens de produits chimiques. »</w:t>
            </w:r>
          </w:p>
          <w:p w14:paraId="5886A91E" w14:textId="09574585" w:rsidR="009812F4" w:rsidRPr="00C3795A" w:rsidRDefault="009812F4" w:rsidP="009812F4">
            <w:pPr>
              <w:jc w:val="center"/>
              <w:rPr>
                <w:rFonts w:ascii="Arial" w:hAnsi="Arial" w:cs="Arial"/>
                <w:b/>
                <w:bCs/>
                <w:sz w:val="18"/>
                <w:szCs w:val="18"/>
              </w:rPr>
            </w:pPr>
          </w:p>
        </w:tc>
      </w:tr>
    </w:tbl>
    <w:p w14:paraId="1C08564D" w14:textId="5B813B9E" w:rsidR="00D43B8C" w:rsidRPr="00C3795A" w:rsidRDefault="00DA17D4" w:rsidP="00D43B8C">
      <w:pPr>
        <w:rPr>
          <w:rFonts w:ascii="Arial" w:hAnsi="Arial" w:cs="Arial"/>
          <w:b/>
          <w:bCs/>
          <w:sz w:val="18"/>
          <w:szCs w:val="18"/>
          <w:u w:val="single"/>
        </w:rPr>
      </w:pPr>
      <w:r w:rsidRPr="00C3795A">
        <w:rPr>
          <w:rFonts w:ascii="Arial" w:eastAsia="Arial" w:hAnsi="Arial" w:cs="Arial"/>
          <w:b/>
          <w:sz w:val="18"/>
          <w:szCs w:val="18"/>
          <w:u w:val="single"/>
          <w:lang w:bidi="fr-FR"/>
        </w:rPr>
        <w:t xml:space="preserve">L’industrie chimique européenne connaît un rapide déclin, et a atteint un point de bascule </w:t>
      </w:r>
    </w:p>
    <w:p w14:paraId="3AD283F4" w14:textId="457B2D1D" w:rsidR="00DA17D4" w:rsidRPr="00C3795A" w:rsidRDefault="00D43B8C" w:rsidP="00D43B8C">
      <w:pPr>
        <w:pStyle w:val="ListParagraph"/>
        <w:numPr>
          <w:ilvl w:val="0"/>
          <w:numId w:val="1"/>
        </w:numPr>
        <w:spacing w:line="240" w:lineRule="auto"/>
        <w:rPr>
          <w:rFonts w:ascii="Arial" w:hAnsi="Arial" w:cs="Arial"/>
          <w:b/>
          <w:bCs/>
          <w:sz w:val="18"/>
          <w:szCs w:val="18"/>
          <w:u w:val="single"/>
        </w:rPr>
      </w:pPr>
      <w:r w:rsidRPr="00C3795A">
        <w:rPr>
          <w:rFonts w:ascii="Arial" w:eastAsia="Arial" w:hAnsi="Arial" w:cs="Arial"/>
          <w:b/>
          <w:sz w:val="18"/>
          <w:szCs w:val="18"/>
          <w:lang w:bidi="fr-FR"/>
        </w:rPr>
        <w:t>La production est à son plus bas en dix ans.</w:t>
      </w:r>
      <w:r w:rsidRPr="00C3795A">
        <w:rPr>
          <w:rFonts w:ascii="Arial" w:eastAsia="Arial" w:hAnsi="Arial" w:cs="Arial"/>
          <w:sz w:val="18"/>
          <w:szCs w:val="18"/>
          <w:lang w:bidi="fr-FR"/>
        </w:rPr>
        <w:t xml:space="preserve"> Au 2</w:t>
      </w:r>
      <w:r w:rsidRPr="00C3795A">
        <w:rPr>
          <w:rFonts w:ascii="Arial" w:eastAsia="Arial" w:hAnsi="Arial" w:cs="Arial"/>
          <w:sz w:val="18"/>
          <w:szCs w:val="18"/>
          <w:vertAlign w:val="superscript"/>
          <w:lang w:bidi="fr-FR"/>
        </w:rPr>
        <w:t>ème</w:t>
      </w:r>
      <w:r w:rsidRPr="00C3795A">
        <w:rPr>
          <w:rFonts w:ascii="Arial" w:eastAsia="Arial" w:hAnsi="Arial" w:cs="Arial"/>
          <w:sz w:val="18"/>
          <w:szCs w:val="18"/>
          <w:lang w:bidi="fr-FR"/>
        </w:rPr>
        <w:t xml:space="preserve"> trimestre 2025, la production du Royaume-Uni et de l’Allemagne était respectivement de 30 % et de 18 % inférieure à ce qu’elle était en 2019 (avant la pandémie). Elle est de 12 % plus faible en France par rapport à 2019, et de 7 % plus faible en Belgique.</w:t>
      </w:r>
    </w:p>
    <w:p w14:paraId="1E4178BC" w14:textId="6508944E" w:rsidR="00DA17D4" w:rsidRPr="00C3795A" w:rsidRDefault="000E0723" w:rsidP="00D43B8C">
      <w:pPr>
        <w:pStyle w:val="ListParagraph"/>
        <w:numPr>
          <w:ilvl w:val="0"/>
          <w:numId w:val="1"/>
        </w:numPr>
        <w:spacing w:line="240" w:lineRule="auto"/>
        <w:rPr>
          <w:rFonts w:ascii="Arial" w:hAnsi="Arial" w:cs="Arial"/>
          <w:sz w:val="18"/>
          <w:szCs w:val="18"/>
        </w:rPr>
      </w:pPr>
      <w:r w:rsidRPr="00C3795A">
        <w:rPr>
          <w:rFonts w:ascii="Arial" w:eastAsia="Arial" w:hAnsi="Arial" w:cs="Arial"/>
          <w:sz w:val="18"/>
          <w:szCs w:val="18"/>
          <w:lang w:bidi="fr-FR"/>
        </w:rPr>
        <w:t>Au 3</w:t>
      </w:r>
      <w:r w:rsidRPr="00C3795A">
        <w:rPr>
          <w:rFonts w:ascii="Arial" w:eastAsia="Arial" w:hAnsi="Arial" w:cs="Arial"/>
          <w:sz w:val="18"/>
          <w:szCs w:val="18"/>
          <w:vertAlign w:val="superscript"/>
          <w:lang w:bidi="fr-FR"/>
        </w:rPr>
        <w:t>ème</w:t>
      </w:r>
      <w:r w:rsidRPr="00C3795A">
        <w:rPr>
          <w:rFonts w:ascii="Arial" w:eastAsia="Arial" w:hAnsi="Arial" w:cs="Arial"/>
          <w:sz w:val="18"/>
          <w:szCs w:val="18"/>
          <w:lang w:bidi="fr-FR"/>
        </w:rPr>
        <w:t xml:space="preserve"> trimestre 2025, les entreprises chimiques de Belgique, d’Allemagne et de France fonctionnaient respectivement à 72 %, 73 % et 79 % de leurs capacités. </w:t>
      </w:r>
    </w:p>
    <w:p w14:paraId="3F4A3E36" w14:textId="62ADBD57" w:rsidR="00DA17D4" w:rsidRPr="00C3795A" w:rsidRDefault="00DA17D4" w:rsidP="00D43B8C">
      <w:pPr>
        <w:pStyle w:val="ListParagraph"/>
        <w:numPr>
          <w:ilvl w:val="0"/>
          <w:numId w:val="1"/>
        </w:numPr>
        <w:spacing w:line="240" w:lineRule="auto"/>
        <w:rPr>
          <w:rFonts w:ascii="Arial" w:hAnsi="Arial" w:cs="Arial"/>
          <w:sz w:val="18"/>
          <w:szCs w:val="18"/>
        </w:rPr>
      </w:pPr>
      <w:r w:rsidRPr="00C3795A">
        <w:rPr>
          <w:rFonts w:ascii="Arial" w:eastAsia="Arial" w:hAnsi="Arial" w:cs="Arial"/>
          <w:b/>
          <w:sz w:val="18"/>
          <w:szCs w:val="18"/>
          <w:lang w:bidi="fr-FR"/>
        </w:rPr>
        <w:t>La baisse de la production a entraîné des fermetures d’usines et des pertes d’emplois.</w:t>
      </w:r>
      <w:r w:rsidRPr="00C3795A">
        <w:rPr>
          <w:rFonts w:ascii="Arial" w:eastAsia="Arial" w:hAnsi="Arial" w:cs="Arial"/>
          <w:sz w:val="18"/>
          <w:szCs w:val="18"/>
          <w:lang w:bidi="fr-FR"/>
        </w:rPr>
        <w:t xml:space="preserve"> En 2023 et 2024, l’équivalent de plus de 11 millions de tonnes de capacités a fermé en Europe, soit un total de 21 grands sites.</w:t>
      </w:r>
    </w:p>
    <w:p w14:paraId="66442AEC" w14:textId="1C1F2276" w:rsidR="00CE67CB" w:rsidRPr="00C3795A" w:rsidRDefault="00B32501" w:rsidP="00D43B8C">
      <w:pPr>
        <w:pStyle w:val="ListParagraph"/>
        <w:numPr>
          <w:ilvl w:val="0"/>
          <w:numId w:val="1"/>
        </w:numPr>
        <w:spacing w:line="240" w:lineRule="auto"/>
        <w:rPr>
          <w:rFonts w:ascii="Arial" w:hAnsi="Arial" w:cs="Arial"/>
          <w:sz w:val="18"/>
          <w:szCs w:val="18"/>
        </w:rPr>
      </w:pPr>
      <w:r w:rsidRPr="00C3795A">
        <w:rPr>
          <w:rFonts w:ascii="Arial" w:eastAsia="Arial" w:hAnsi="Arial" w:cs="Arial"/>
          <w:sz w:val="18"/>
          <w:szCs w:val="18"/>
          <w:lang w:bidi="fr-FR"/>
        </w:rPr>
        <w:t xml:space="preserve">Entre 2019 et 2024, la croissance annuelle moyenne des </w:t>
      </w:r>
      <w:r w:rsidRPr="00C3795A">
        <w:rPr>
          <w:rFonts w:ascii="Arial" w:eastAsia="Arial" w:hAnsi="Arial" w:cs="Arial"/>
          <w:b/>
          <w:sz w:val="18"/>
          <w:szCs w:val="18"/>
          <w:lang w:bidi="fr-FR"/>
        </w:rPr>
        <w:t xml:space="preserve">dépenses d’investissement dans les entreprises de l’industrie chimique européenne était inférieure de moitié à leurs homologues américaines </w:t>
      </w:r>
      <w:r w:rsidRPr="00C3795A">
        <w:rPr>
          <w:rFonts w:ascii="Arial" w:eastAsia="Arial" w:hAnsi="Arial" w:cs="Arial"/>
          <w:sz w:val="18"/>
          <w:szCs w:val="18"/>
          <w:lang w:bidi="fr-FR"/>
        </w:rPr>
        <w:t xml:space="preserve">(1,5 % contre 3 %). Nous estimons que ce fossé sera amené à perdurer au cours de la décennie à venir. Huit des dix plus grandes sociétés de l’industrie chimique mondiale réduisent leurs opérations en Europe ou s’en retirent, tandis que </w:t>
      </w:r>
      <w:r w:rsidRPr="00C3795A">
        <w:rPr>
          <w:rFonts w:ascii="Arial" w:eastAsia="Arial" w:hAnsi="Arial" w:cs="Arial"/>
          <w:b/>
          <w:sz w:val="18"/>
          <w:szCs w:val="18"/>
          <w:lang w:bidi="fr-FR"/>
        </w:rPr>
        <w:t>les dix plus gros producteurs américains investissent et se développent</w:t>
      </w:r>
      <w:r w:rsidRPr="00C3795A">
        <w:rPr>
          <w:rFonts w:ascii="Arial" w:eastAsia="Arial" w:hAnsi="Arial" w:cs="Arial"/>
          <w:sz w:val="18"/>
          <w:szCs w:val="18"/>
          <w:lang w:bidi="fr-FR"/>
        </w:rPr>
        <w:t>.</w:t>
      </w:r>
    </w:p>
    <w:p w14:paraId="7DC28106" w14:textId="77777777" w:rsidR="00A34D1D" w:rsidRPr="00C3795A" w:rsidRDefault="00A34D1D" w:rsidP="00A34D1D">
      <w:pPr>
        <w:spacing w:line="240" w:lineRule="auto"/>
        <w:rPr>
          <w:rFonts w:ascii="Arial" w:hAnsi="Arial" w:cs="Arial"/>
          <w:b/>
          <w:bCs/>
          <w:sz w:val="18"/>
          <w:szCs w:val="18"/>
          <w:u w:val="single"/>
        </w:rPr>
      </w:pPr>
      <w:r w:rsidRPr="00C3795A">
        <w:rPr>
          <w:rFonts w:ascii="Arial" w:eastAsia="Arial" w:hAnsi="Arial" w:cs="Arial"/>
          <w:b/>
          <w:sz w:val="18"/>
          <w:szCs w:val="18"/>
          <w:u w:val="single"/>
          <w:lang w:bidi="fr-FR"/>
        </w:rPr>
        <w:t>Les trois grandes causes des perspectives maussades de l’industrie chimique européenne</w:t>
      </w:r>
    </w:p>
    <w:p w14:paraId="29DCABA2" w14:textId="77777777" w:rsidR="00A34D1D" w:rsidRPr="00C3795A" w:rsidRDefault="00A34D1D" w:rsidP="00A34D1D">
      <w:pPr>
        <w:spacing w:line="240" w:lineRule="auto"/>
        <w:rPr>
          <w:rFonts w:ascii="Arial" w:hAnsi="Arial" w:cs="Arial"/>
          <w:b/>
          <w:bCs/>
          <w:sz w:val="18"/>
          <w:szCs w:val="18"/>
        </w:rPr>
      </w:pPr>
      <w:r w:rsidRPr="00C3795A">
        <w:rPr>
          <w:rFonts w:ascii="Arial" w:eastAsia="Arial" w:hAnsi="Arial" w:cs="Arial"/>
          <w:b/>
          <w:sz w:val="18"/>
          <w:szCs w:val="18"/>
          <w:lang w:bidi="fr-FR"/>
        </w:rPr>
        <w:t>1 L’écart des prix de l’énergie</w:t>
      </w:r>
    </w:p>
    <w:p w14:paraId="11B12146" w14:textId="6E22E579" w:rsidR="00A34D1D" w:rsidRPr="00C3795A" w:rsidRDefault="00A34D1D" w:rsidP="00A34D1D">
      <w:pPr>
        <w:pStyle w:val="ListParagraph"/>
        <w:numPr>
          <w:ilvl w:val="0"/>
          <w:numId w:val="2"/>
        </w:numPr>
        <w:spacing w:line="240" w:lineRule="auto"/>
        <w:rPr>
          <w:rFonts w:ascii="Arial" w:hAnsi="Arial" w:cs="Arial"/>
          <w:sz w:val="18"/>
          <w:szCs w:val="18"/>
        </w:rPr>
      </w:pPr>
      <w:r w:rsidRPr="00C3795A">
        <w:rPr>
          <w:rFonts w:ascii="Arial" w:eastAsia="Arial" w:hAnsi="Arial" w:cs="Arial"/>
          <w:sz w:val="18"/>
          <w:szCs w:val="18"/>
          <w:lang w:bidi="fr-FR"/>
        </w:rPr>
        <w:t>Au 3</w:t>
      </w:r>
      <w:r w:rsidRPr="00C3795A">
        <w:rPr>
          <w:rFonts w:ascii="Arial" w:eastAsia="Arial" w:hAnsi="Arial" w:cs="Arial"/>
          <w:sz w:val="18"/>
          <w:szCs w:val="18"/>
          <w:vertAlign w:val="superscript"/>
          <w:lang w:bidi="fr-FR"/>
        </w:rPr>
        <w:t>ème</w:t>
      </w:r>
      <w:r w:rsidRPr="00C3795A">
        <w:rPr>
          <w:rFonts w:ascii="Arial" w:eastAsia="Arial" w:hAnsi="Arial" w:cs="Arial"/>
          <w:sz w:val="18"/>
          <w:szCs w:val="18"/>
          <w:lang w:bidi="fr-FR"/>
        </w:rPr>
        <w:t xml:space="preserve"> trimestre 2025, les cours du gaz en Europe étaient </w:t>
      </w:r>
      <w:r w:rsidRPr="00C3795A">
        <w:rPr>
          <w:rFonts w:ascii="Arial" w:eastAsia="Arial" w:hAnsi="Arial" w:cs="Arial"/>
          <w:b/>
          <w:sz w:val="18"/>
          <w:szCs w:val="18"/>
          <w:lang w:bidi="fr-FR"/>
        </w:rPr>
        <w:t>quatre fois supérieurs à ce qu’ils étaient aux États-Unis</w:t>
      </w:r>
      <w:r w:rsidRPr="00C3795A">
        <w:rPr>
          <w:rFonts w:ascii="Arial" w:eastAsia="Arial" w:hAnsi="Arial" w:cs="Arial"/>
          <w:sz w:val="18"/>
          <w:szCs w:val="18"/>
          <w:lang w:bidi="fr-FR"/>
        </w:rPr>
        <w:t>, et demeureront trois à quatre fois plus élevés au cours des cinq années à venir.</w:t>
      </w:r>
    </w:p>
    <w:p w14:paraId="53562F7A" w14:textId="77777777" w:rsidR="00A34D1D" w:rsidRPr="00C3795A" w:rsidRDefault="00A34D1D" w:rsidP="00A34D1D">
      <w:pPr>
        <w:pStyle w:val="ListParagraph"/>
        <w:numPr>
          <w:ilvl w:val="0"/>
          <w:numId w:val="2"/>
        </w:numPr>
        <w:spacing w:line="240" w:lineRule="auto"/>
        <w:rPr>
          <w:rFonts w:ascii="Arial" w:hAnsi="Arial" w:cs="Arial"/>
          <w:sz w:val="18"/>
          <w:szCs w:val="18"/>
        </w:rPr>
      </w:pPr>
      <w:r w:rsidRPr="00C3795A">
        <w:rPr>
          <w:rFonts w:ascii="Arial" w:eastAsia="Arial" w:hAnsi="Arial" w:cs="Arial"/>
          <w:sz w:val="18"/>
          <w:szCs w:val="18"/>
          <w:lang w:bidi="fr-FR"/>
        </w:rPr>
        <w:t xml:space="preserve">L’Europe dépend des importations de GNL, à la fois coûteuses et volatiles, tandis que </w:t>
      </w:r>
      <w:r w:rsidRPr="00C3795A">
        <w:rPr>
          <w:rFonts w:ascii="Arial" w:eastAsia="Arial" w:hAnsi="Arial" w:cs="Arial"/>
          <w:b/>
          <w:sz w:val="18"/>
          <w:szCs w:val="18"/>
          <w:lang w:bidi="fr-FR"/>
        </w:rPr>
        <w:t>la Chine alimente sa production industrielle et chimique grâce à du gaz russe bon marché</w:t>
      </w:r>
      <w:r w:rsidRPr="00C3795A">
        <w:rPr>
          <w:rFonts w:ascii="Arial" w:eastAsia="Arial" w:hAnsi="Arial" w:cs="Arial"/>
          <w:sz w:val="18"/>
          <w:szCs w:val="18"/>
          <w:lang w:bidi="fr-FR"/>
        </w:rPr>
        <w:t xml:space="preserve">, ce qui contribue à saper la compétitivité de l’industrie chimique britannique et européenne. </w:t>
      </w:r>
    </w:p>
    <w:p w14:paraId="2C684C3D" w14:textId="77777777" w:rsidR="00A34D1D" w:rsidRPr="00C3795A" w:rsidRDefault="00A34D1D" w:rsidP="00A34D1D">
      <w:pPr>
        <w:pStyle w:val="ListParagraph"/>
        <w:numPr>
          <w:ilvl w:val="0"/>
          <w:numId w:val="2"/>
        </w:numPr>
        <w:spacing w:line="240" w:lineRule="auto"/>
        <w:rPr>
          <w:rFonts w:ascii="Arial" w:hAnsi="Arial" w:cs="Arial"/>
          <w:b/>
          <w:bCs/>
          <w:sz w:val="18"/>
          <w:szCs w:val="18"/>
        </w:rPr>
      </w:pPr>
      <w:r w:rsidRPr="00C3795A">
        <w:rPr>
          <w:rFonts w:ascii="Arial" w:eastAsia="Arial" w:hAnsi="Arial" w:cs="Arial"/>
          <w:sz w:val="18"/>
          <w:szCs w:val="18"/>
          <w:lang w:bidi="fr-FR"/>
        </w:rPr>
        <w:t xml:space="preserve">Actuellement, le prix de l’électricité industrielle pour les producteurs européens est </w:t>
      </w:r>
      <w:r w:rsidRPr="00C3795A">
        <w:rPr>
          <w:rFonts w:ascii="Arial" w:eastAsia="Arial" w:hAnsi="Arial" w:cs="Arial"/>
          <w:b/>
          <w:sz w:val="18"/>
          <w:szCs w:val="18"/>
          <w:lang w:bidi="fr-FR"/>
        </w:rPr>
        <w:t>deux à trois fois plus élevé que le prix du gaz industriel.</w:t>
      </w:r>
    </w:p>
    <w:p w14:paraId="38418FBC" w14:textId="62228722" w:rsidR="00A34D1D" w:rsidRPr="00C3795A" w:rsidRDefault="00CE134D" w:rsidP="00A34D1D">
      <w:pPr>
        <w:pStyle w:val="ListParagraph"/>
        <w:numPr>
          <w:ilvl w:val="0"/>
          <w:numId w:val="2"/>
        </w:numPr>
        <w:spacing w:line="240" w:lineRule="auto"/>
        <w:rPr>
          <w:rFonts w:ascii="Arial" w:hAnsi="Arial" w:cs="Arial"/>
          <w:sz w:val="18"/>
          <w:szCs w:val="18"/>
        </w:rPr>
      </w:pPr>
      <w:r w:rsidRPr="00C3795A">
        <w:rPr>
          <w:rFonts w:ascii="Arial" w:eastAsia="Arial" w:hAnsi="Arial" w:cs="Arial"/>
          <w:sz w:val="18"/>
          <w:szCs w:val="18"/>
          <w:lang w:bidi="fr-FR"/>
        </w:rPr>
        <w:t xml:space="preserve">Par conséquent, à moins d’une réduction considérable du coût de l’électricité industrielle, </w:t>
      </w:r>
      <w:r w:rsidRPr="00C3795A">
        <w:rPr>
          <w:rFonts w:ascii="Arial" w:eastAsia="Arial" w:hAnsi="Arial" w:cs="Arial"/>
          <w:b/>
          <w:sz w:val="18"/>
          <w:szCs w:val="18"/>
          <w:lang w:bidi="fr-FR"/>
        </w:rPr>
        <w:t>la progression de l’électrification continuera d’affaiblir la compétitivité du secteur chimique européen</w:t>
      </w:r>
      <w:r w:rsidRPr="00C3795A">
        <w:rPr>
          <w:rFonts w:ascii="Arial" w:eastAsia="Arial" w:hAnsi="Arial" w:cs="Arial"/>
          <w:sz w:val="18"/>
          <w:szCs w:val="18"/>
          <w:lang w:bidi="fr-FR"/>
        </w:rPr>
        <w:t xml:space="preserve"> par rapport aux autres territoires.</w:t>
      </w:r>
    </w:p>
    <w:p w14:paraId="4633F564" w14:textId="77777777" w:rsidR="00A34D1D" w:rsidRPr="00C3795A" w:rsidRDefault="00A34D1D" w:rsidP="00A34D1D">
      <w:pPr>
        <w:spacing w:line="240" w:lineRule="auto"/>
        <w:rPr>
          <w:rFonts w:ascii="Arial" w:hAnsi="Arial" w:cs="Arial"/>
          <w:b/>
          <w:bCs/>
          <w:sz w:val="18"/>
          <w:szCs w:val="18"/>
        </w:rPr>
      </w:pPr>
      <w:r w:rsidRPr="00C3795A">
        <w:rPr>
          <w:rFonts w:ascii="Arial" w:eastAsia="Arial" w:hAnsi="Arial" w:cs="Arial"/>
          <w:b/>
          <w:sz w:val="18"/>
          <w:szCs w:val="18"/>
          <w:lang w:bidi="fr-FR"/>
        </w:rPr>
        <w:t>2. La réglementation environnementale et autres contraintes réglementaires</w:t>
      </w:r>
    </w:p>
    <w:p w14:paraId="5259CBDA" w14:textId="77777777" w:rsidR="00A34D1D" w:rsidRPr="00C3795A" w:rsidRDefault="00A34D1D" w:rsidP="00A34D1D">
      <w:pPr>
        <w:pStyle w:val="ListParagraph"/>
        <w:numPr>
          <w:ilvl w:val="0"/>
          <w:numId w:val="2"/>
        </w:numPr>
        <w:spacing w:line="240" w:lineRule="auto"/>
        <w:rPr>
          <w:rFonts w:ascii="Arial" w:hAnsi="Arial" w:cs="Arial"/>
          <w:sz w:val="18"/>
          <w:szCs w:val="18"/>
        </w:rPr>
      </w:pPr>
      <w:r w:rsidRPr="00C3795A">
        <w:rPr>
          <w:rFonts w:ascii="Arial" w:eastAsia="Arial" w:hAnsi="Arial" w:cs="Arial"/>
          <w:sz w:val="18"/>
          <w:szCs w:val="18"/>
          <w:lang w:bidi="fr-FR"/>
        </w:rPr>
        <w:t>Du fait du Système d'échange de quotas d'émission de l’Union européenne et du Royaume-Uni, les entreprises chimiques paient pour le CO</w:t>
      </w:r>
      <w:r w:rsidRPr="00C3795A">
        <w:rPr>
          <w:rFonts w:ascii="Arial" w:eastAsia="Arial" w:hAnsi="Arial" w:cs="Arial"/>
          <w:sz w:val="18"/>
          <w:szCs w:val="18"/>
          <w:vertAlign w:val="subscript"/>
          <w:lang w:bidi="fr-FR"/>
        </w:rPr>
        <w:t>2</w:t>
      </w:r>
      <w:r w:rsidRPr="00C3795A">
        <w:rPr>
          <w:rFonts w:ascii="Arial" w:eastAsia="Arial" w:hAnsi="Arial" w:cs="Arial"/>
          <w:sz w:val="18"/>
          <w:szCs w:val="18"/>
          <w:lang w:bidi="fr-FR"/>
        </w:rPr>
        <w:t xml:space="preserve"> qu’elles émettent. Ce qui leur porte un préjudice financier, car</w:t>
      </w:r>
      <w:r w:rsidRPr="00C3795A">
        <w:rPr>
          <w:rFonts w:ascii="Arial" w:eastAsia="Arial" w:hAnsi="Arial" w:cs="Arial"/>
          <w:b/>
          <w:sz w:val="18"/>
          <w:szCs w:val="18"/>
          <w:lang w:bidi="fr-FR"/>
        </w:rPr>
        <w:t xml:space="preserve"> les entreprises qui exportent au Royaume-Uni ou dans l’UE</w:t>
      </w:r>
      <w:r w:rsidRPr="00C3795A">
        <w:rPr>
          <w:rFonts w:ascii="Arial" w:eastAsia="Arial" w:hAnsi="Arial" w:cs="Arial"/>
          <w:sz w:val="18"/>
          <w:szCs w:val="18"/>
          <w:lang w:bidi="fr-FR"/>
        </w:rPr>
        <w:t xml:space="preserve"> ne s’acquittent pas de ce coût. </w:t>
      </w:r>
      <w:r w:rsidRPr="00C3795A">
        <w:rPr>
          <w:rFonts w:ascii="Arial" w:eastAsia="Arial" w:hAnsi="Arial" w:cs="Arial"/>
          <w:b/>
          <w:sz w:val="18"/>
          <w:szCs w:val="18"/>
          <w:lang w:bidi="fr-FR"/>
        </w:rPr>
        <w:t>On s’attend à ce que les prix du carbone continuent d’augmenter en Europe, pour plus que doubler d’ici 2040.</w:t>
      </w:r>
    </w:p>
    <w:p w14:paraId="59EE51D2" w14:textId="77777777" w:rsidR="00A34D1D" w:rsidRPr="00C3795A" w:rsidRDefault="00A34D1D" w:rsidP="00A34D1D">
      <w:pPr>
        <w:pStyle w:val="ListParagraph"/>
        <w:numPr>
          <w:ilvl w:val="0"/>
          <w:numId w:val="2"/>
        </w:numPr>
        <w:spacing w:line="240" w:lineRule="auto"/>
        <w:rPr>
          <w:rFonts w:ascii="Arial" w:hAnsi="Arial" w:cs="Arial"/>
          <w:sz w:val="18"/>
          <w:szCs w:val="18"/>
        </w:rPr>
      </w:pPr>
      <w:r w:rsidRPr="00C3795A">
        <w:rPr>
          <w:rFonts w:ascii="Arial" w:eastAsia="Arial" w:hAnsi="Arial" w:cs="Arial"/>
          <w:sz w:val="18"/>
          <w:szCs w:val="18"/>
          <w:lang w:bidi="fr-FR"/>
        </w:rPr>
        <w:t xml:space="preserve">Pour atteindre les objectifs de neutralité carbone, l’industrie chimique européenne devrait investir de </w:t>
      </w:r>
      <w:r w:rsidRPr="00C3795A">
        <w:rPr>
          <w:rFonts w:ascii="Arial" w:eastAsia="Arial" w:hAnsi="Arial" w:cs="Arial"/>
          <w:b/>
          <w:sz w:val="18"/>
          <w:szCs w:val="18"/>
          <w:lang w:bidi="fr-FR"/>
        </w:rPr>
        <w:t>800 milliards à 1 trillion d’euros</w:t>
      </w:r>
      <w:r w:rsidRPr="00C3795A">
        <w:rPr>
          <w:rFonts w:ascii="Arial" w:eastAsia="Arial" w:hAnsi="Arial" w:cs="Arial"/>
          <w:sz w:val="18"/>
          <w:szCs w:val="18"/>
          <w:lang w:bidi="fr-FR"/>
        </w:rPr>
        <w:t xml:space="preserve">. </w:t>
      </w:r>
      <w:r w:rsidRPr="00C3795A">
        <w:rPr>
          <w:rFonts w:ascii="Arial" w:eastAsia="Arial" w:hAnsi="Arial" w:cs="Arial"/>
          <w:b/>
          <w:sz w:val="18"/>
          <w:szCs w:val="18"/>
          <w:lang w:bidi="fr-FR"/>
        </w:rPr>
        <w:t>Les autres territoires n’ont pas adopté d’objectifs de décarbonation aussi ambitieux.</w:t>
      </w:r>
    </w:p>
    <w:p w14:paraId="26C5C726" w14:textId="77777777" w:rsidR="00A34D1D" w:rsidRPr="00C3795A" w:rsidRDefault="00A34D1D" w:rsidP="00A34D1D">
      <w:pPr>
        <w:spacing w:line="240" w:lineRule="auto"/>
        <w:rPr>
          <w:rFonts w:ascii="Arial" w:hAnsi="Arial" w:cs="Arial"/>
          <w:b/>
          <w:bCs/>
          <w:sz w:val="18"/>
          <w:szCs w:val="18"/>
        </w:rPr>
      </w:pPr>
      <w:r w:rsidRPr="00C3795A">
        <w:rPr>
          <w:rFonts w:ascii="Arial" w:eastAsia="Arial" w:hAnsi="Arial" w:cs="Arial"/>
          <w:b/>
          <w:sz w:val="18"/>
          <w:szCs w:val="18"/>
          <w:lang w:bidi="fr-FR"/>
        </w:rPr>
        <w:t>3. L’essor de la concurrence étrangère et l’accentuation du déséquilibre de la balance commerciale</w:t>
      </w:r>
    </w:p>
    <w:p w14:paraId="0C75B8D3" w14:textId="77777777" w:rsidR="00A34D1D" w:rsidRPr="00C3795A" w:rsidRDefault="00A34D1D" w:rsidP="00A34D1D">
      <w:pPr>
        <w:pStyle w:val="ListParagraph"/>
        <w:numPr>
          <w:ilvl w:val="0"/>
          <w:numId w:val="2"/>
        </w:numPr>
        <w:spacing w:line="240" w:lineRule="auto"/>
        <w:rPr>
          <w:rFonts w:ascii="Arial" w:hAnsi="Arial" w:cs="Arial"/>
          <w:sz w:val="18"/>
          <w:szCs w:val="18"/>
        </w:rPr>
      </w:pPr>
      <w:r w:rsidRPr="00C3795A">
        <w:rPr>
          <w:rFonts w:ascii="Arial" w:eastAsia="Arial" w:hAnsi="Arial" w:cs="Arial"/>
          <w:sz w:val="18"/>
          <w:szCs w:val="18"/>
          <w:lang w:bidi="fr-FR"/>
        </w:rPr>
        <w:t xml:space="preserve">Bien que la production de l’industrie chimique européenne soit à son plus bas en dix ans, </w:t>
      </w:r>
      <w:r w:rsidRPr="00C3795A">
        <w:rPr>
          <w:rFonts w:ascii="Arial" w:eastAsia="Arial" w:hAnsi="Arial" w:cs="Arial"/>
          <w:b/>
          <w:sz w:val="18"/>
          <w:szCs w:val="18"/>
          <w:lang w:bidi="fr-FR"/>
        </w:rPr>
        <w:t>les importations de produits chimiques dans les pays européens ont fortement augmenté</w:t>
      </w:r>
      <w:r w:rsidRPr="00C3795A">
        <w:rPr>
          <w:rFonts w:ascii="Arial" w:eastAsia="Arial" w:hAnsi="Arial" w:cs="Arial"/>
          <w:sz w:val="18"/>
          <w:szCs w:val="18"/>
          <w:lang w:bidi="fr-FR"/>
        </w:rPr>
        <w:t xml:space="preserve">. Depuis 2019, le total des importations de produits chimiques en Belgique a bondi de 60 %, et de près de 50 % en France et en Allemagne. </w:t>
      </w:r>
    </w:p>
    <w:p w14:paraId="1B403D16" w14:textId="77777777" w:rsidR="00A34D1D" w:rsidRPr="00C3795A" w:rsidRDefault="00A34D1D" w:rsidP="00A34D1D">
      <w:pPr>
        <w:pStyle w:val="ListParagraph"/>
        <w:numPr>
          <w:ilvl w:val="0"/>
          <w:numId w:val="2"/>
        </w:numPr>
        <w:spacing w:line="240" w:lineRule="auto"/>
        <w:rPr>
          <w:rFonts w:ascii="Arial" w:hAnsi="Arial" w:cs="Arial"/>
          <w:b/>
          <w:bCs/>
          <w:sz w:val="18"/>
          <w:szCs w:val="18"/>
        </w:rPr>
      </w:pPr>
      <w:r w:rsidRPr="00C3795A">
        <w:rPr>
          <w:rFonts w:ascii="Arial" w:eastAsia="Arial" w:hAnsi="Arial" w:cs="Arial"/>
          <w:sz w:val="18"/>
          <w:szCs w:val="18"/>
          <w:lang w:bidi="fr-FR"/>
        </w:rPr>
        <w:t xml:space="preserve">La Chine a considérablement renforcé ses capacités nationales de production chimique, </w:t>
      </w:r>
      <w:r w:rsidRPr="00C3795A">
        <w:rPr>
          <w:rFonts w:ascii="Arial" w:eastAsia="Arial" w:hAnsi="Arial" w:cs="Arial"/>
          <w:b/>
          <w:sz w:val="18"/>
          <w:szCs w:val="18"/>
          <w:lang w:bidi="fr-FR"/>
        </w:rPr>
        <w:t>grâce aux prix bas du gaz et du pétrole brut russes</w:t>
      </w:r>
      <w:r w:rsidRPr="00C3795A">
        <w:rPr>
          <w:rFonts w:ascii="Arial" w:eastAsia="Arial" w:hAnsi="Arial" w:cs="Arial"/>
          <w:sz w:val="18"/>
          <w:szCs w:val="18"/>
          <w:lang w:bidi="fr-FR"/>
        </w:rPr>
        <w:t xml:space="preserve">. Étant donné la demande intérieure relativement faible, les producteurs chinois se sont tournés vers les marchés européens. </w:t>
      </w:r>
      <w:r w:rsidRPr="00C3795A">
        <w:rPr>
          <w:rFonts w:ascii="Arial" w:eastAsia="Arial" w:hAnsi="Arial" w:cs="Arial"/>
          <w:b/>
          <w:sz w:val="18"/>
          <w:szCs w:val="18"/>
          <w:lang w:bidi="fr-FR"/>
        </w:rPr>
        <w:t>Entre 2019 et 2024, les importations de produits chimiques chinois dans l’Union européenne ont augmenté de 34 %.</w:t>
      </w:r>
    </w:p>
    <w:p w14:paraId="0A7444F2" w14:textId="77777777" w:rsidR="00A34D1D" w:rsidRPr="00C3795A" w:rsidRDefault="00A34D1D" w:rsidP="00A34D1D">
      <w:pPr>
        <w:pStyle w:val="ListParagraph"/>
        <w:numPr>
          <w:ilvl w:val="0"/>
          <w:numId w:val="2"/>
        </w:numPr>
        <w:spacing w:line="240" w:lineRule="auto"/>
        <w:rPr>
          <w:rFonts w:ascii="Arial" w:hAnsi="Arial" w:cs="Arial"/>
          <w:sz w:val="18"/>
          <w:szCs w:val="18"/>
        </w:rPr>
      </w:pPr>
      <w:r w:rsidRPr="00C3795A">
        <w:rPr>
          <w:rFonts w:ascii="Arial" w:eastAsia="Arial" w:hAnsi="Arial" w:cs="Arial"/>
          <w:sz w:val="18"/>
          <w:szCs w:val="18"/>
          <w:lang w:bidi="fr-FR"/>
        </w:rPr>
        <w:t>Cette hausse a également incité les entreprises chimiques du Moyen-Orient et des États-Unis à réorienter leurs exportations vers les marchés européens.</w:t>
      </w:r>
    </w:p>
    <w:p w14:paraId="2985A420" w14:textId="278FA7F6" w:rsidR="00A34D1D" w:rsidRPr="00C3795A" w:rsidRDefault="00A34D1D" w:rsidP="00A34D1D">
      <w:pPr>
        <w:pStyle w:val="ListParagraph"/>
        <w:numPr>
          <w:ilvl w:val="0"/>
          <w:numId w:val="2"/>
        </w:numPr>
        <w:spacing w:line="240" w:lineRule="auto"/>
        <w:rPr>
          <w:rFonts w:ascii="Arial" w:hAnsi="Arial" w:cs="Arial"/>
          <w:sz w:val="18"/>
          <w:szCs w:val="18"/>
        </w:rPr>
      </w:pPr>
      <w:r w:rsidRPr="00C3795A">
        <w:rPr>
          <w:rFonts w:ascii="Arial" w:eastAsia="Arial" w:hAnsi="Arial" w:cs="Arial"/>
          <w:sz w:val="18"/>
          <w:szCs w:val="18"/>
          <w:lang w:bidi="fr-FR"/>
        </w:rPr>
        <w:lastRenderedPageBreak/>
        <w:t xml:space="preserve">Dans le cadre du </w:t>
      </w:r>
      <w:r w:rsidRPr="00C3795A">
        <w:rPr>
          <w:rFonts w:ascii="Arial" w:eastAsia="Arial" w:hAnsi="Arial" w:cs="Arial"/>
          <w:b/>
          <w:sz w:val="18"/>
          <w:szCs w:val="18"/>
          <w:lang w:bidi="fr-FR"/>
        </w:rPr>
        <w:t>nouvel accord commercial entre l’UE et les États-Unis</w:t>
      </w:r>
      <w:r w:rsidRPr="00C3795A">
        <w:rPr>
          <w:rFonts w:ascii="Arial" w:eastAsia="Arial" w:hAnsi="Arial" w:cs="Arial"/>
          <w:sz w:val="18"/>
          <w:szCs w:val="18"/>
          <w:lang w:bidi="fr-FR"/>
        </w:rPr>
        <w:t>, les entreprises chimiques européennes qui souhaitent exporter aux États-Unis subissent des droits de douane de 15 % (contre 6,5 % auparavant). À l’inverse, les entreprises chimiques américaines n’ont plus à s’acquitter de droits de douane lorsqu’elles exportent vers l’UE (contre 6,5 % auparavant).</w:t>
      </w:r>
    </w:p>
    <w:p w14:paraId="37D920A7" w14:textId="77777777" w:rsidR="00A34D1D" w:rsidRPr="00C3795A" w:rsidRDefault="00A34D1D" w:rsidP="00B8300E">
      <w:pPr>
        <w:pStyle w:val="ListParagraph"/>
        <w:numPr>
          <w:ilvl w:val="0"/>
          <w:numId w:val="2"/>
        </w:numPr>
        <w:spacing w:line="240" w:lineRule="auto"/>
        <w:rPr>
          <w:rFonts w:ascii="Arial" w:hAnsi="Arial" w:cs="Arial"/>
          <w:sz w:val="18"/>
          <w:szCs w:val="18"/>
        </w:rPr>
      </w:pPr>
      <w:r w:rsidRPr="00C3795A">
        <w:rPr>
          <w:rFonts w:ascii="Arial" w:eastAsia="Arial" w:hAnsi="Arial" w:cs="Arial"/>
          <w:sz w:val="18"/>
          <w:szCs w:val="18"/>
          <w:lang w:bidi="fr-FR"/>
        </w:rPr>
        <w:t xml:space="preserve">Du fait des droits de douane protégeant les entreprises américaines, </w:t>
      </w:r>
      <w:r w:rsidRPr="00C3795A">
        <w:rPr>
          <w:rFonts w:ascii="Arial" w:eastAsia="Arial" w:hAnsi="Arial" w:cs="Arial"/>
          <w:b/>
          <w:sz w:val="18"/>
          <w:szCs w:val="18"/>
          <w:lang w:bidi="fr-FR"/>
        </w:rPr>
        <w:t>les produits chinois jusqu’alors destinés au marché américain sont désormais réorientés vers l’Europe.</w:t>
      </w:r>
    </w:p>
    <w:p w14:paraId="5DC09A7C" w14:textId="7FE444F2" w:rsidR="2D2514E1" w:rsidRPr="00C3795A" w:rsidRDefault="2D2514E1" w:rsidP="2D2514E1">
      <w:pPr>
        <w:pStyle w:val="ListParagraph"/>
        <w:spacing w:line="240" w:lineRule="auto"/>
        <w:rPr>
          <w:rFonts w:ascii="Arial" w:hAnsi="Arial" w:cs="Arial"/>
          <w:sz w:val="18"/>
          <w:szCs w:val="18"/>
        </w:rPr>
      </w:pPr>
    </w:p>
    <w:p w14:paraId="618DE161" w14:textId="24CF1804" w:rsidR="00673EEF" w:rsidRPr="00C3795A" w:rsidRDefault="00BC3748" w:rsidP="00A34D1D">
      <w:pPr>
        <w:spacing w:line="240" w:lineRule="auto"/>
        <w:rPr>
          <w:rFonts w:ascii="Arial" w:hAnsi="Arial" w:cs="Arial"/>
          <w:sz w:val="18"/>
          <w:szCs w:val="18"/>
        </w:rPr>
      </w:pPr>
      <w:r w:rsidRPr="00C3795A">
        <w:rPr>
          <w:rFonts w:ascii="Arial" w:eastAsia="Arial" w:hAnsi="Arial" w:cs="Arial"/>
          <w:b/>
          <w:sz w:val="18"/>
          <w:szCs w:val="18"/>
          <w:u w:val="single"/>
          <w:lang w:bidi="fr-FR"/>
        </w:rPr>
        <w:t xml:space="preserve">Un déclin, trois grandes conséquences </w:t>
      </w:r>
    </w:p>
    <w:p w14:paraId="390E1B34" w14:textId="3CB9A67C" w:rsidR="00DA17D4" w:rsidRPr="00C3795A" w:rsidRDefault="00BC3748" w:rsidP="00B8300E">
      <w:pPr>
        <w:rPr>
          <w:rFonts w:ascii="Arial" w:hAnsi="Arial" w:cs="Arial"/>
          <w:b/>
          <w:color w:val="000000" w:themeColor="text1"/>
          <w:sz w:val="18"/>
          <w:szCs w:val="18"/>
        </w:rPr>
      </w:pPr>
      <w:r w:rsidRPr="00C3795A">
        <w:rPr>
          <w:rFonts w:ascii="Arial" w:eastAsia="Arial" w:hAnsi="Arial" w:cs="Arial"/>
          <w:b/>
          <w:color w:val="000000" w:themeColor="text1"/>
          <w:sz w:val="18"/>
          <w:szCs w:val="18"/>
          <w:lang w:bidi="fr-FR"/>
        </w:rPr>
        <w:t>1 Économiques</w:t>
      </w:r>
    </w:p>
    <w:p w14:paraId="5F41E371" w14:textId="30C568F6" w:rsidR="00EE3A11" w:rsidRPr="00C3795A" w:rsidRDefault="00DA17D4" w:rsidP="00B8300E">
      <w:pPr>
        <w:pStyle w:val="ListParagraph"/>
        <w:numPr>
          <w:ilvl w:val="0"/>
          <w:numId w:val="1"/>
        </w:numPr>
        <w:spacing w:line="240" w:lineRule="auto"/>
        <w:rPr>
          <w:rFonts w:ascii="Arial" w:hAnsi="Arial" w:cs="Arial"/>
          <w:color w:val="000000" w:themeColor="text1"/>
          <w:sz w:val="18"/>
          <w:szCs w:val="18"/>
        </w:rPr>
      </w:pPr>
      <w:r w:rsidRPr="00C3795A">
        <w:rPr>
          <w:rFonts w:ascii="Arial" w:eastAsia="Arial" w:hAnsi="Arial" w:cs="Arial"/>
          <w:color w:val="000000" w:themeColor="text1"/>
          <w:sz w:val="18"/>
          <w:szCs w:val="18"/>
          <w:lang w:bidi="fr-FR"/>
        </w:rPr>
        <w:t xml:space="preserve">Le secteur de la chimie est la quatrième plus grosse industrie d’Europe. Il est profondément imbriqué dans l’économie européenne, et emploie 1,2 million de personnes. </w:t>
      </w:r>
    </w:p>
    <w:p w14:paraId="6CF630C8" w14:textId="78A293E3" w:rsidR="00B511AA" w:rsidRPr="00C3795A" w:rsidRDefault="00DA17D4" w:rsidP="00DC4FB5">
      <w:pPr>
        <w:pStyle w:val="ListParagraph"/>
        <w:numPr>
          <w:ilvl w:val="1"/>
          <w:numId w:val="1"/>
        </w:numPr>
        <w:spacing w:line="240" w:lineRule="auto"/>
        <w:rPr>
          <w:rFonts w:ascii="Arial" w:hAnsi="Arial" w:cs="Arial"/>
          <w:color w:val="000000" w:themeColor="text1"/>
          <w:sz w:val="18"/>
          <w:szCs w:val="18"/>
        </w:rPr>
      </w:pPr>
      <w:r w:rsidRPr="00C3795A">
        <w:rPr>
          <w:rFonts w:ascii="Arial" w:eastAsia="Arial" w:hAnsi="Arial" w:cs="Arial"/>
          <w:color w:val="000000" w:themeColor="text1"/>
          <w:sz w:val="18"/>
          <w:szCs w:val="18"/>
          <w:lang w:bidi="fr-FR"/>
        </w:rPr>
        <w:t>Chaque emploi créé dans ce secteur fait vivre indirectement entre 3 et 4,6 emplois ailleurs sur le continent, soit par le biais de la chaîne logistique, soit car les employés du secteur dépensent leur salaire dans l’économie de consommation.</w:t>
      </w:r>
    </w:p>
    <w:p w14:paraId="7E5DECD8" w14:textId="77777777" w:rsidR="00B511AA" w:rsidRPr="00C3795A" w:rsidRDefault="00B511AA" w:rsidP="00DC4FB5">
      <w:pPr>
        <w:pStyle w:val="ListParagraph"/>
        <w:numPr>
          <w:ilvl w:val="1"/>
          <w:numId w:val="1"/>
        </w:numPr>
        <w:spacing w:line="240" w:lineRule="auto"/>
        <w:rPr>
          <w:rStyle w:val="apple-converted-space"/>
          <w:rFonts w:ascii="Arial" w:hAnsi="Arial" w:cs="Arial"/>
          <w:color w:val="000000" w:themeColor="text1"/>
          <w:sz w:val="18"/>
          <w:szCs w:val="18"/>
        </w:rPr>
      </w:pPr>
      <w:r w:rsidRPr="00C3795A">
        <w:rPr>
          <w:rFonts w:ascii="Arial" w:eastAsia="Arial" w:hAnsi="Arial" w:cs="Arial"/>
          <w:color w:val="000000" w:themeColor="text1"/>
          <w:sz w:val="18"/>
          <w:szCs w:val="18"/>
          <w:lang w:bidi="fr-FR"/>
        </w:rPr>
        <w:t>Chaque million d’euros que le secteur contribue au PIB contribue également à une autre partie de l’économie nationale, à hauteur de 1,1 million à 1,4 million. </w:t>
      </w:r>
    </w:p>
    <w:p w14:paraId="74DEC661" w14:textId="53CFB880" w:rsidR="000E3F12" w:rsidRPr="00C3795A" w:rsidRDefault="009A1054" w:rsidP="00AA2DF7">
      <w:pPr>
        <w:pStyle w:val="ListParagraph"/>
        <w:numPr>
          <w:ilvl w:val="0"/>
          <w:numId w:val="1"/>
        </w:numPr>
        <w:spacing w:line="240" w:lineRule="auto"/>
        <w:rPr>
          <w:rFonts w:ascii="Arial" w:hAnsi="Arial" w:cs="Arial"/>
          <w:color w:val="000000" w:themeColor="text1"/>
          <w:sz w:val="18"/>
          <w:szCs w:val="18"/>
        </w:rPr>
      </w:pPr>
      <w:r w:rsidRPr="00C3795A">
        <w:rPr>
          <w:rFonts w:ascii="Arial" w:eastAsia="Arial" w:hAnsi="Arial" w:cs="Arial"/>
          <w:color w:val="000000" w:themeColor="text1"/>
          <w:sz w:val="18"/>
          <w:szCs w:val="18"/>
          <w:lang w:bidi="fr-FR"/>
        </w:rPr>
        <w:t>La vente de 100 millions d’euros de produits chimiques produits par l’un des trois grands pays producteurs de l’industrie chimique de l’UE ou du Royaume-Uni participe au maintien de 620 à 830 emplois à travers l’Europe (soit directement, soit via la chaîne logistique, soit via l’économie de consommation).</w:t>
      </w:r>
    </w:p>
    <w:p w14:paraId="0A8F5D91" w14:textId="6E0B12AC" w:rsidR="00095EC8" w:rsidRPr="00C3795A" w:rsidRDefault="00B511AA" w:rsidP="00887136">
      <w:pPr>
        <w:pStyle w:val="ListParagraph"/>
        <w:numPr>
          <w:ilvl w:val="1"/>
          <w:numId w:val="1"/>
        </w:numPr>
        <w:spacing w:line="240" w:lineRule="auto"/>
        <w:rPr>
          <w:rFonts w:ascii="Arial" w:hAnsi="Arial" w:cs="Arial"/>
          <w:color w:val="000000" w:themeColor="text1"/>
          <w:sz w:val="18"/>
          <w:szCs w:val="18"/>
        </w:rPr>
      </w:pPr>
      <w:r w:rsidRPr="00C3795A">
        <w:rPr>
          <w:rFonts w:ascii="Arial" w:eastAsia="Arial" w:hAnsi="Arial" w:cs="Arial"/>
          <w:color w:val="000000" w:themeColor="text1"/>
          <w:sz w:val="18"/>
          <w:szCs w:val="18"/>
          <w:lang w:bidi="fr-FR"/>
        </w:rPr>
        <w:t xml:space="preserve">En revanche, si cette production était déplacée aux États-Unis ou en Chine, l’achat de 100 millions d’euros de produits chimiques importés </w:t>
      </w:r>
      <w:r w:rsidRPr="00C3795A">
        <w:rPr>
          <w:rFonts w:ascii="Arial" w:eastAsia="Arial" w:hAnsi="Arial" w:cs="Arial"/>
          <w:b/>
          <w:color w:val="000000" w:themeColor="text1"/>
          <w:sz w:val="18"/>
          <w:szCs w:val="18"/>
          <w:lang w:bidi="fr-FR"/>
        </w:rPr>
        <w:t>contribuerait au maintien de 580 à 790 emplois en moins</w:t>
      </w:r>
      <w:r w:rsidRPr="00C3795A">
        <w:rPr>
          <w:rFonts w:ascii="Arial" w:eastAsia="Arial" w:hAnsi="Arial" w:cs="Arial"/>
          <w:color w:val="000000" w:themeColor="text1"/>
          <w:sz w:val="18"/>
          <w:szCs w:val="18"/>
          <w:lang w:bidi="fr-FR"/>
        </w:rPr>
        <w:t xml:space="preserve"> dans l’UE et au Royaume-Uni, car les activités d’importation ne participeraient qu’au maintien de 30 à 40 emplois, entre le recours à des fournisseurs européens et les dépenses de consommation.</w:t>
      </w:r>
    </w:p>
    <w:p w14:paraId="59A2E41E" w14:textId="131CA122" w:rsidR="00CE67CB" w:rsidRPr="00C3795A" w:rsidRDefault="00CE67CB" w:rsidP="00CE67CB">
      <w:pPr>
        <w:rPr>
          <w:rFonts w:ascii="Arial" w:hAnsi="Arial" w:cs="Arial"/>
          <w:b/>
          <w:bCs/>
          <w:sz w:val="18"/>
          <w:szCs w:val="18"/>
        </w:rPr>
      </w:pPr>
      <w:r w:rsidRPr="00C3795A">
        <w:rPr>
          <w:rFonts w:ascii="Arial" w:eastAsia="Arial" w:hAnsi="Arial" w:cs="Arial"/>
          <w:b/>
          <w:sz w:val="18"/>
          <w:szCs w:val="18"/>
          <w:lang w:bidi="fr-FR"/>
        </w:rPr>
        <w:t>2. Stratégiques</w:t>
      </w:r>
    </w:p>
    <w:p w14:paraId="19FD7049" w14:textId="6A7B6D1E" w:rsidR="00331CEB" w:rsidRPr="00C3795A" w:rsidRDefault="00D417FB" w:rsidP="00CE67CB">
      <w:pPr>
        <w:pStyle w:val="ListParagraph"/>
        <w:numPr>
          <w:ilvl w:val="0"/>
          <w:numId w:val="20"/>
        </w:numPr>
        <w:spacing w:line="240" w:lineRule="auto"/>
        <w:rPr>
          <w:rFonts w:ascii="Arial" w:hAnsi="Arial" w:cs="Arial"/>
          <w:sz w:val="18"/>
          <w:szCs w:val="18"/>
        </w:rPr>
      </w:pPr>
      <w:r w:rsidRPr="00C3795A">
        <w:rPr>
          <w:rFonts w:ascii="Arial" w:eastAsia="Arial" w:hAnsi="Arial" w:cs="Arial"/>
          <w:sz w:val="18"/>
          <w:szCs w:val="18"/>
          <w:lang w:bidi="fr-FR"/>
        </w:rPr>
        <w:t>Les produits chimiques sont essentiels aux infrastructures nationales critiques, à la santé, aux transports, à la défense, au BTP, à l’industrie manufacturière et à d’autres secteurs.</w:t>
      </w:r>
    </w:p>
    <w:p w14:paraId="77D49014" w14:textId="7DAF9B03" w:rsidR="00402AB7" w:rsidRPr="00C3795A" w:rsidRDefault="00544199" w:rsidP="00457637">
      <w:pPr>
        <w:pStyle w:val="ListParagraph"/>
        <w:numPr>
          <w:ilvl w:val="0"/>
          <w:numId w:val="1"/>
        </w:numPr>
        <w:spacing w:line="240" w:lineRule="auto"/>
        <w:rPr>
          <w:rFonts w:ascii="Arial" w:hAnsi="Arial" w:cs="Arial"/>
          <w:sz w:val="18"/>
          <w:szCs w:val="18"/>
          <w:lang w:eastAsia="en-GB"/>
        </w:rPr>
      </w:pPr>
      <w:r w:rsidRPr="00C3795A">
        <w:rPr>
          <w:rFonts w:ascii="Arial" w:eastAsia="Arial" w:hAnsi="Arial" w:cs="Arial"/>
          <w:sz w:val="18"/>
          <w:szCs w:val="18"/>
          <w:lang w:bidi="fr-FR"/>
        </w:rPr>
        <w:t xml:space="preserve">C’est ainsi que le chlore est indispensable au traitement de l’eau, que les solvants sont cruciaux pour la production de médicaments et de vaccins, ou que la fibre de carbone est nécessaire à la production de systèmes de transport et de défense légers. </w:t>
      </w:r>
    </w:p>
    <w:p w14:paraId="626CC885" w14:textId="087A283C" w:rsidR="001728EA" w:rsidRPr="00C3795A" w:rsidRDefault="00D417FB" w:rsidP="006A69B3">
      <w:pPr>
        <w:pStyle w:val="ListParagraph"/>
        <w:numPr>
          <w:ilvl w:val="0"/>
          <w:numId w:val="1"/>
        </w:numPr>
        <w:spacing w:line="240" w:lineRule="auto"/>
        <w:rPr>
          <w:rFonts w:ascii="Arial" w:hAnsi="Arial" w:cs="Arial"/>
          <w:sz w:val="18"/>
          <w:szCs w:val="18"/>
        </w:rPr>
      </w:pPr>
      <w:r w:rsidRPr="00C3795A">
        <w:rPr>
          <w:rFonts w:ascii="Arial" w:eastAsia="Arial" w:hAnsi="Arial" w:cs="Arial"/>
          <w:sz w:val="18"/>
          <w:szCs w:val="18"/>
          <w:lang w:bidi="fr-FR"/>
        </w:rPr>
        <w:t xml:space="preserve">Une dépendance accrue aux importations aurait de </w:t>
      </w:r>
      <w:r w:rsidRPr="00C3795A">
        <w:rPr>
          <w:rFonts w:ascii="Arial" w:eastAsia="Arial" w:hAnsi="Arial" w:cs="Arial"/>
          <w:b/>
          <w:sz w:val="18"/>
          <w:szCs w:val="18"/>
          <w:lang w:bidi="fr-FR"/>
        </w:rPr>
        <w:t>fortes implications pour la sécurité nationale</w:t>
      </w:r>
      <w:r w:rsidRPr="00C3795A">
        <w:rPr>
          <w:rFonts w:ascii="Arial" w:eastAsia="Arial" w:hAnsi="Arial" w:cs="Arial"/>
          <w:sz w:val="18"/>
          <w:szCs w:val="18"/>
          <w:lang w:bidi="fr-FR"/>
        </w:rPr>
        <w:t>.</w:t>
      </w:r>
    </w:p>
    <w:p w14:paraId="2827F98B" w14:textId="684FAEF8" w:rsidR="006A69B3" w:rsidRPr="00C3795A" w:rsidRDefault="001728EA" w:rsidP="006A69B3">
      <w:pPr>
        <w:rPr>
          <w:rFonts w:ascii="Arial" w:hAnsi="Arial" w:cs="Arial"/>
          <w:b/>
          <w:sz w:val="18"/>
          <w:szCs w:val="18"/>
        </w:rPr>
      </w:pPr>
      <w:r w:rsidRPr="00C3795A">
        <w:rPr>
          <w:rFonts w:ascii="Arial" w:eastAsia="Arial" w:hAnsi="Arial" w:cs="Arial"/>
          <w:b/>
          <w:sz w:val="18"/>
          <w:szCs w:val="18"/>
          <w:lang w:bidi="fr-FR"/>
        </w:rPr>
        <w:t>3. Environnementales</w:t>
      </w:r>
    </w:p>
    <w:p w14:paraId="74C55FEE" w14:textId="3FEB4ADE" w:rsidR="005A02D4" w:rsidRPr="00C3795A" w:rsidRDefault="00FE186B" w:rsidP="00FE186B">
      <w:pPr>
        <w:pStyle w:val="ListParagraph"/>
        <w:numPr>
          <w:ilvl w:val="0"/>
          <w:numId w:val="21"/>
        </w:numPr>
        <w:rPr>
          <w:rFonts w:ascii="Arial" w:hAnsi="Arial" w:cs="Arial"/>
          <w:sz w:val="18"/>
          <w:szCs w:val="18"/>
        </w:rPr>
      </w:pPr>
      <w:r w:rsidRPr="00C3795A">
        <w:rPr>
          <w:rFonts w:ascii="Arial" w:eastAsia="Arial" w:hAnsi="Arial" w:cs="Arial"/>
          <w:sz w:val="18"/>
          <w:szCs w:val="18"/>
          <w:lang w:bidi="fr-FR"/>
        </w:rPr>
        <w:t>Le déclin de l’industrie chimique européenne va entraîner une dépendance accrue de l’Europe aux importations de produits chimiques. Lesquels seront produits de façon plus polluante dans des économies telles que la Chine, les États-Unis et le Moyen-Orient. </w:t>
      </w:r>
    </w:p>
    <w:p w14:paraId="4F5EBE2D" w14:textId="6608A596" w:rsidR="002509BD" w:rsidRPr="00C3795A" w:rsidRDefault="00E8011A" w:rsidP="002509BD">
      <w:pPr>
        <w:pStyle w:val="ListParagraph"/>
        <w:numPr>
          <w:ilvl w:val="0"/>
          <w:numId w:val="1"/>
        </w:numPr>
        <w:spacing w:line="240" w:lineRule="auto"/>
        <w:rPr>
          <w:rFonts w:ascii="Arial" w:hAnsi="Arial" w:cs="Arial"/>
          <w:sz w:val="18"/>
          <w:szCs w:val="18"/>
        </w:rPr>
      </w:pPr>
      <w:r w:rsidRPr="00C3795A">
        <w:rPr>
          <w:rFonts w:ascii="Arial" w:eastAsia="Arial" w:hAnsi="Arial" w:cs="Arial"/>
          <w:sz w:val="18"/>
          <w:szCs w:val="18"/>
          <w:lang w:bidi="fr-FR"/>
        </w:rPr>
        <w:t>Les données des émissions laissent à penser que la production chimique émettrait deux fois plus de CO</w:t>
      </w:r>
      <w:r w:rsidRPr="00C3795A">
        <w:rPr>
          <w:rFonts w:ascii="Arial" w:eastAsia="Arial" w:hAnsi="Arial" w:cs="Arial"/>
          <w:sz w:val="18"/>
          <w:szCs w:val="18"/>
          <w:vertAlign w:val="subscript"/>
          <w:lang w:bidi="fr-FR"/>
        </w:rPr>
        <w:t>2</w:t>
      </w:r>
      <w:r w:rsidRPr="00C3795A">
        <w:rPr>
          <w:rFonts w:ascii="Arial" w:eastAsia="Arial" w:hAnsi="Arial" w:cs="Arial"/>
          <w:sz w:val="18"/>
          <w:szCs w:val="18"/>
          <w:lang w:bidi="fr-FR"/>
        </w:rPr>
        <w:t xml:space="preserve"> si elle était transférée aux États-Unis, et trois fois plus si elle était transférée en Chine.</w:t>
      </w:r>
    </w:p>
    <w:p w14:paraId="1BF1ACA4" w14:textId="77777777" w:rsidR="00941B8F" w:rsidRPr="00C3795A" w:rsidRDefault="002509BD" w:rsidP="006D0D2F">
      <w:pPr>
        <w:pStyle w:val="ListParagraph"/>
        <w:numPr>
          <w:ilvl w:val="0"/>
          <w:numId w:val="1"/>
        </w:numPr>
        <w:spacing w:line="240" w:lineRule="auto"/>
        <w:rPr>
          <w:rFonts w:ascii="Arial" w:hAnsi="Arial" w:cs="Arial"/>
          <w:sz w:val="18"/>
          <w:szCs w:val="18"/>
        </w:rPr>
      </w:pPr>
      <w:r w:rsidRPr="00C3795A">
        <w:rPr>
          <w:rFonts w:ascii="Arial" w:eastAsia="Arial" w:hAnsi="Arial" w:cs="Arial"/>
          <w:sz w:val="18"/>
          <w:szCs w:val="18"/>
          <w:lang w:bidi="fr-FR"/>
        </w:rPr>
        <w:t>L’importation de produits chimiques entraînerait également de plus grandes distances de transport, d’où une hausse des émissions.</w:t>
      </w:r>
    </w:p>
    <w:p w14:paraId="474869F8" w14:textId="133BDB78" w:rsidR="006A4C90" w:rsidRPr="00C3795A" w:rsidRDefault="002509BD" w:rsidP="006D0D2F">
      <w:pPr>
        <w:pStyle w:val="ListParagraph"/>
        <w:numPr>
          <w:ilvl w:val="0"/>
          <w:numId w:val="1"/>
        </w:numPr>
        <w:spacing w:line="240" w:lineRule="auto"/>
        <w:rPr>
          <w:rFonts w:ascii="Arial" w:hAnsi="Arial" w:cs="Arial"/>
          <w:sz w:val="18"/>
          <w:szCs w:val="18"/>
        </w:rPr>
      </w:pPr>
      <w:r w:rsidRPr="00C3795A">
        <w:rPr>
          <w:rFonts w:ascii="Arial" w:eastAsia="Arial" w:hAnsi="Arial" w:cs="Arial"/>
          <w:sz w:val="18"/>
          <w:szCs w:val="18"/>
          <w:lang w:bidi="fr-FR"/>
        </w:rPr>
        <w:t xml:space="preserve">Par conséquent, </w:t>
      </w:r>
      <w:r w:rsidRPr="00C3795A">
        <w:rPr>
          <w:rFonts w:ascii="Arial" w:eastAsia="Arial" w:hAnsi="Arial" w:cs="Arial"/>
          <w:b/>
          <w:sz w:val="18"/>
          <w:szCs w:val="18"/>
          <w:lang w:bidi="fr-FR"/>
        </w:rPr>
        <w:t>aussi paradoxal que cela puisse paraître, le déclin de l’industrie chimique européenne pourrait déboucher sur une hausse des émissions mondiales</w:t>
      </w:r>
      <w:r w:rsidRPr="00C3795A">
        <w:rPr>
          <w:rFonts w:ascii="Arial" w:eastAsia="Arial" w:hAnsi="Arial" w:cs="Arial"/>
          <w:sz w:val="18"/>
          <w:szCs w:val="18"/>
          <w:lang w:bidi="fr-FR"/>
        </w:rPr>
        <w:t>.</w:t>
      </w:r>
    </w:p>
    <w:p w14:paraId="0794AA67" w14:textId="219A323D" w:rsidR="00A34D1D" w:rsidRPr="00C3795A" w:rsidRDefault="00A34D1D" w:rsidP="00104ACC">
      <w:pPr>
        <w:spacing w:line="240" w:lineRule="auto"/>
        <w:rPr>
          <w:rFonts w:ascii="Arial" w:hAnsi="Arial" w:cs="Arial"/>
          <w:sz w:val="18"/>
          <w:szCs w:val="18"/>
        </w:rPr>
      </w:pPr>
      <w:r w:rsidRPr="00C3795A">
        <w:rPr>
          <w:rFonts w:ascii="Arial" w:eastAsia="Arial" w:hAnsi="Arial" w:cs="Arial"/>
          <w:b/>
          <w:sz w:val="18"/>
          <w:szCs w:val="18"/>
          <w:u w:val="single"/>
          <w:lang w:bidi="fr-FR"/>
        </w:rPr>
        <w:br/>
        <w:t xml:space="preserve">Il nous faut agir de toute urgence, sans quoi le Royaume-Uni et l’Union européenne perdront un pilier de leur tissu industriel </w:t>
      </w:r>
    </w:p>
    <w:p w14:paraId="6D59F573" w14:textId="77777777" w:rsidR="00A34D1D" w:rsidRPr="00C3795A" w:rsidRDefault="00A34D1D" w:rsidP="00A34D1D">
      <w:pPr>
        <w:pStyle w:val="ListParagraph"/>
        <w:numPr>
          <w:ilvl w:val="0"/>
          <w:numId w:val="16"/>
        </w:numPr>
        <w:spacing w:line="240" w:lineRule="auto"/>
        <w:rPr>
          <w:rFonts w:ascii="Arial" w:hAnsi="Arial" w:cs="Arial"/>
          <w:sz w:val="18"/>
          <w:szCs w:val="18"/>
        </w:rPr>
      </w:pPr>
      <w:r w:rsidRPr="00C3795A">
        <w:rPr>
          <w:rFonts w:ascii="Arial" w:eastAsia="Arial" w:hAnsi="Arial" w:cs="Arial"/>
          <w:sz w:val="18"/>
          <w:szCs w:val="18"/>
          <w:lang w:bidi="fr-FR"/>
        </w:rPr>
        <w:t xml:space="preserve">La suppression des taxes et des prélèvements sur l’énergie industrielle, ainsi que l’instauration d’aides ciblées, contribuerait à inverser la tendance et à éviter de nouvelles fermetures. </w:t>
      </w:r>
    </w:p>
    <w:p w14:paraId="2F2A3A49" w14:textId="5939A441" w:rsidR="00A34D1D" w:rsidRPr="00C3795A" w:rsidRDefault="00D726D0" w:rsidP="00A34D1D">
      <w:pPr>
        <w:pStyle w:val="ListParagraph"/>
        <w:numPr>
          <w:ilvl w:val="0"/>
          <w:numId w:val="16"/>
        </w:numPr>
        <w:spacing w:line="240" w:lineRule="auto"/>
        <w:rPr>
          <w:rFonts w:ascii="Arial" w:hAnsi="Arial" w:cs="Arial"/>
          <w:sz w:val="18"/>
          <w:szCs w:val="18"/>
        </w:rPr>
      </w:pPr>
      <w:r w:rsidRPr="00C3795A">
        <w:rPr>
          <w:rFonts w:ascii="Arial" w:eastAsia="Arial" w:hAnsi="Arial" w:cs="Arial"/>
          <w:sz w:val="18"/>
          <w:szCs w:val="18"/>
          <w:lang w:bidi="fr-FR"/>
        </w:rPr>
        <w:t>L’association de droits de douane ciblés et d’une taxe carbone aux frontières bien pensée protégera la part de marché de l’Europe face aux concurrents qui bénéficient d’une énergie subventionnée ou faiblement régulée.</w:t>
      </w:r>
    </w:p>
    <w:p w14:paraId="55E4AECE" w14:textId="77777777" w:rsidR="007179D7" w:rsidRPr="00C3795A" w:rsidRDefault="00A34D1D" w:rsidP="007179D7">
      <w:pPr>
        <w:pStyle w:val="ListParagraph"/>
        <w:numPr>
          <w:ilvl w:val="0"/>
          <w:numId w:val="16"/>
        </w:numPr>
        <w:spacing w:line="240" w:lineRule="auto"/>
        <w:rPr>
          <w:rFonts w:ascii="Arial" w:hAnsi="Arial" w:cs="Arial"/>
          <w:sz w:val="18"/>
          <w:szCs w:val="18"/>
        </w:rPr>
      </w:pPr>
      <w:r w:rsidRPr="00C3795A">
        <w:rPr>
          <w:rFonts w:ascii="Arial" w:eastAsia="Arial" w:hAnsi="Arial" w:cs="Arial"/>
          <w:sz w:val="18"/>
          <w:szCs w:val="18"/>
          <w:lang w:bidi="fr-FR"/>
        </w:rPr>
        <w:t>Le rétablissement d’allocations à titre gratuit et la baisse de la tarification du CO</w:t>
      </w:r>
      <w:r w:rsidRPr="00C3795A">
        <w:rPr>
          <w:rFonts w:ascii="Cambria Math" w:eastAsia="Cambria Math" w:hAnsi="Cambria Math" w:cs="Cambria Math"/>
          <w:sz w:val="18"/>
          <w:szCs w:val="18"/>
          <w:lang w:bidi="fr-FR"/>
        </w:rPr>
        <w:t>₂</w:t>
      </w:r>
      <w:r w:rsidRPr="00C3795A">
        <w:rPr>
          <w:rFonts w:ascii="Arial" w:eastAsia="Arial" w:hAnsi="Arial" w:cs="Arial"/>
          <w:sz w:val="18"/>
          <w:szCs w:val="18"/>
          <w:lang w:bidi="fr-FR"/>
        </w:rPr>
        <w:t xml:space="preserve"> permettrait immédiatement aux entreprises de respirer, et leur laisserait le temps d’investir dans des technologies de décarbonation comme le CCS et l’hydrogène.</w:t>
      </w:r>
    </w:p>
    <w:p w14:paraId="16A98D17" w14:textId="77777777" w:rsidR="004D3F51" w:rsidRPr="00C3795A" w:rsidRDefault="004D3F51" w:rsidP="004D3F51">
      <w:pPr>
        <w:spacing w:line="240" w:lineRule="auto"/>
        <w:rPr>
          <w:rFonts w:ascii="Arial" w:hAnsi="Arial" w:cs="Arial"/>
          <w:sz w:val="18"/>
          <w:szCs w:val="18"/>
        </w:rPr>
      </w:pPr>
    </w:p>
    <w:p w14:paraId="454EEC1D" w14:textId="2D526AC2" w:rsidR="004D3F51" w:rsidRPr="00C3795A" w:rsidRDefault="004D3F51" w:rsidP="004D3F51">
      <w:pPr>
        <w:rPr>
          <w:sz w:val="18"/>
          <w:szCs w:val="18"/>
        </w:rPr>
      </w:pPr>
      <w:r w:rsidRPr="00C3795A">
        <w:rPr>
          <w:rFonts w:ascii="Arial" w:eastAsia="Arial" w:hAnsi="Arial" w:cs="Arial"/>
          <w:sz w:val="18"/>
          <w:szCs w:val="18"/>
          <w:lang w:bidi="fr-FR"/>
        </w:rPr>
        <w:t xml:space="preserve">Le rapport complet peut être téléchargé à cette adresse : </w:t>
      </w:r>
      <w:r w:rsidRPr="00C3795A">
        <w:rPr>
          <w:sz w:val="18"/>
          <w:szCs w:val="18"/>
          <w:lang w:bidi="fr-FR"/>
        </w:rPr>
        <w:t xml:space="preserve">. </w:t>
      </w:r>
      <w:hyperlink r:id="rId12" w:history="1">
        <w:r w:rsidRPr="00C3795A">
          <w:rPr>
            <w:rStyle w:val="Hyperlink"/>
            <w:sz w:val="18"/>
            <w:szCs w:val="18"/>
            <w:lang w:bidi="fr-FR"/>
          </w:rPr>
          <w:t>https://we.tl/t-qlW3ot22J2</w:t>
        </w:r>
      </w:hyperlink>
    </w:p>
    <w:sectPr w:rsidR="004D3F51" w:rsidRPr="00C3795A" w:rsidSect="009812F4">
      <w:footerReference w:type="default" r:id="rId13"/>
      <w:headerReference w:type="first" r:id="rId14"/>
      <w:footerReference w:type="first" r:id="rId15"/>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BFB27" w14:textId="77777777" w:rsidR="001A12EB" w:rsidRDefault="001A12EB">
      <w:pPr>
        <w:spacing w:after="0" w:line="240" w:lineRule="auto"/>
      </w:pPr>
      <w:r>
        <w:separator/>
      </w:r>
    </w:p>
  </w:endnote>
  <w:endnote w:type="continuationSeparator" w:id="0">
    <w:p w14:paraId="0F1E529C" w14:textId="77777777" w:rsidR="001A12EB" w:rsidRDefault="001A1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Helvetica">
    <w:panose1 w:val="020B0604020202020204"/>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9A0D9" w14:textId="3A003461" w:rsidR="00754E13" w:rsidRPr="00754E13" w:rsidRDefault="00754E13">
    <w:pPr>
      <w:pStyle w:val="Footer"/>
      <w:rPr>
        <w:i/>
        <w:iCs/>
        <w:color w:val="EE0000"/>
        <w:sz w:val="16"/>
        <w:szCs w:val="16"/>
      </w:rPr>
    </w:pPr>
    <w:r w:rsidRPr="00754E13">
      <w:rPr>
        <w:i/>
        <w:color w:val="EE0000"/>
        <w:sz w:val="16"/>
        <w:szCs w:val="16"/>
        <w:lang w:bidi="fr-FR"/>
      </w:rPr>
      <w:t xml:space="preserve">N.B. Les chiffres cités proviennent du rapport complet d’Oxford </w:t>
    </w:r>
    <w:proofErr w:type="spellStart"/>
    <w:r w:rsidRPr="00754E13">
      <w:rPr>
        <w:i/>
        <w:color w:val="EE0000"/>
        <w:sz w:val="16"/>
        <w:szCs w:val="16"/>
        <w:lang w:bidi="fr-FR"/>
      </w:rPr>
      <w:t>Economics</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3723091"/>
      <w:docPartObj>
        <w:docPartGallery w:val="Page Numbers (Bottom of Page)"/>
        <w:docPartUnique/>
      </w:docPartObj>
    </w:sdtPr>
    <w:sdtEndPr/>
    <w:sdtContent>
      <w:sdt>
        <w:sdtPr>
          <w:id w:val="-1769616900"/>
          <w:docPartObj>
            <w:docPartGallery w:val="Page Numbers (Top of Page)"/>
            <w:docPartUnique/>
          </w:docPartObj>
        </w:sdtPr>
        <w:sdtEndPr/>
        <w:sdtContent>
          <w:p w14:paraId="1CA7312B" w14:textId="49C938AF" w:rsidR="009812F4" w:rsidRDefault="009812F4" w:rsidP="009812F4">
            <w:pPr>
              <w:pStyle w:val="Footer"/>
            </w:pPr>
            <w:r w:rsidRPr="009812F4">
              <w:rPr>
                <w:sz w:val="18"/>
                <w:szCs w:val="18"/>
                <w:lang w:bidi="fr-FR"/>
              </w:rPr>
              <w:t xml:space="preserve">Page </w:t>
            </w:r>
            <w:r w:rsidRPr="009812F4">
              <w:rPr>
                <w:b/>
                <w:sz w:val="18"/>
                <w:szCs w:val="18"/>
                <w:lang w:bidi="fr-FR"/>
              </w:rPr>
              <w:fldChar w:fldCharType="begin"/>
            </w:r>
            <w:r w:rsidRPr="009812F4">
              <w:rPr>
                <w:b/>
                <w:sz w:val="18"/>
                <w:szCs w:val="18"/>
                <w:lang w:bidi="fr-FR"/>
              </w:rPr>
              <w:instrText xml:space="preserve"> PAGE </w:instrText>
            </w:r>
            <w:r w:rsidRPr="009812F4">
              <w:rPr>
                <w:b/>
                <w:sz w:val="18"/>
                <w:szCs w:val="18"/>
                <w:lang w:bidi="fr-FR"/>
              </w:rPr>
              <w:fldChar w:fldCharType="separate"/>
            </w:r>
            <w:r w:rsidRPr="009812F4">
              <w:rPr>
                <w:b/>
                <w:noProof/>
                <w:sz w:val="18"/>
                <w:szCs w:val="18"/>
                <w:lang w:bidi="fr-FR"/>
              </w:rPr>
              <w:t>2</w:t>
            </w:r>
            <w:r w:rsidRPr="009812F4">
              <w:rPr>
                <w:b/>
                <w:sz w:val="18"/>
                <w:szCs w:val="18"/>
                <w:lang w:bidi="fr-FR"/>
              </w:rPr>
              <w:fldChar w:fldCharType="end"/>
            </w:r>
            <w:r w:rsidRPr="009812F4">
              <w:rPr>
                <w:sz w:val="18"/>
                <w:szCs w:val="18"/>
                <w:lang w:bidi="fr-FR"/>
              </w:rPr>
              <w:t xml:space="preserve"> sur </w:t>
            </w:r>
            <w:r w:rsidRPr="009812F4">
              <w:rPr>
                <w:b/>
                <w:sz w:val="18"/>
                <w:szCs w:val="18"/>
                <w:lang w:bidi="fr-FR"/>
              </w:rPr>
              <w:fldChar w:fldCharType="begin"/>
            </w:r>
            <w:r w:rsidRPr="009812F4">
              <w:rPr>
                <w:b/>
                <w:sz w:val="18"/>
                <w:szCs w:val="18"/>
                <w:lang w:bidi="fr-FR"/>
              </w:rPr>
              <w:instrText xml:space="preserve"> NUMPAGES  </w:instrText>
            </w:r>
            <w:r w:rsidRPr="009812F4">
              <w:rPr>
                <w:b/>
                <w:sz w:val="18"/>
                <w:szCs w:val="18"/>
                <w:lang w:bidi="fr-FR"/>
              </w:rPr>
              <w:fldChar w:fldCharType="separate"/>
            </w:r>
            <w:r w:rsidRPr="009812F4">
              <w:rPr>
                <w:b/>
                <w:noProof/>
                <w:sz w:val="18"/>
                <w:szCs w:val="18"/>
                <w:lang w:bidi="fr-FR"/>
              </w:rPr>
              <w:t>2</w:t>
            </w:r>
            <w:r w:rsidRPr="009812F4">
              <w:rPr>
                <w:b/>
                <w:sz w:val="18"/>
                <w:szCs w:val="18"/>
                <w:lang w:bidi="fr-FR"/>
              </w:rPr>
              <w:fldChar w:fldCharType="end"/>
            </w:r>
          </w:p>
        </w:sdtContent>
      </w:sdt>
    </w:sdtContent>
  </w:sdt>
  <w:p w14:paraId="66B2F5A4" w14:textId="77777777" w:rsidR="009812F4" w:rsidRDefault="009812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4D9D2" w14:textId="77777777" w:rsidR="001A12EB" w:rsidRDefault="001A12EB">
      <w:pPr>
        <w:spacing w:after="0" w:line="240" w:lineRule="auto"/>
      </w:pPr>
      <w:r>
        <w:separator/>
      </w:r>
    </w:p>
  </w:footnote>
  <w:footnote w:type="continuationSeparator" w:id="0">
    <w:p w14:paraId="532ACD8D" w14:textId="77777777" w:rsidR="001A12EB" w:rsidRDefault="001A12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D81F5" w14:textId="774BA35D" w:rsidR="009812F4" w:rsidRDefault="009812F4">
    <w:pPr>
      <w:pStyle w:val="Header"/>
    </w:pPr>
    <w:r>
      <w:rPr>
        <w:noProof/>
        <w:lang w:bidi="fr-FR"/>
      </w:rPr>
      <mc:AlternateContent>
        <mc:Choice Requires="wps">
          <w:drawing>
            <wp:anchor distT="0" distB="0" distL="114300" distR="114300" simplePos="0" relativeHeight="251663360" behindDoc="0" locked="0" layoutInCell="1" allowOverlap="1" wp14:anchorId="2C53B51C" wp14:editId="4EDE6711">
              <wp:simplePos x="0" y="0"/>
              <wp:positionH relativeFrom="column">
                <wp:posOffset>3971925</wp:posOffset>
              </wp:positionH>
              <wp:positionV relativeFrom="paragraph">
                <wp:posOffset>-116205</wp:posOffset>
              </wp:positionV>
              <wp:extent cx="3206115" cy="426720"/>
              <wp:effectExtent l="0" t="0" r="13335" b="11430"/>
              <wp:wrapNone/>
              <wp:docPr id="2028694186" name="Text Box 1"/>
              <wp:cNvGraphicFramePr/>
              <a:graphic xmlns:a="http://schemas.openxmlformats.org/drawingml/2006/main">
                <a:graphicData uri="http://schemas.microsoft.com/office/word/2010/wordprocessingShape">
                  <wps:wsp>
                    <wps:cNvSpPr txBox="1"/>
                    <wps:spPr>
                      <a:xfrm>
                        <a:off x="0" y="0"/>
                        <a:ext cx="3206115" cy="426720"/>
                      </a:xfrm>
                      <a:prstGeom prst="rect">
                        <a:avLst/>
                      </a:prstGeom>
                      <a:noFill/>
                      <a:ln w="6350">
                        <a:noFill/>
                      </a:ln>
                    </wps:spPr>
                    <wps:txbx>
                      <w:txbxContent>
                        <w:p w14:paraId="741176A5" w14:textId="1048D448" w:rsidR="009812F4" w:rsidRPr="009812F4" w:rsidRDefault="009812F4" w:rsidP="009812F4">
                          <w:pPr>
                            <w:pStyle w:val="INTERNALCOMMheading"/>
                            <w:rPr>
                              <w:spacing w:val="0"/>
                              <w:sz w:val="40"/>
                              <w:szCs w:val="40"/>
                            </w:rPr>
                          </w:pPr>
                          <w:r>
                            <w:rPr>
                              <w:spacing w:val="0"/>
                              <w:sz w:val="40"/>
                              <w:szCs w:val="40"/>
                              <w:lang w:bidi="fr-FR"/>
                            </w:rPr>
                            <w:t>Synthèse de rapport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C53B51C" id="_x0000_t202" coordsize="21600,21600" o:spt="202" path="m,l,21600r21600,l21600,xe">
              <v:stroke joinstyle="miter"/>
              <v:path gradientshapeok="t" o:connecttype="rect"/>
            </v:shapetype>
            <v:shape id="Text Box 1" o:spid="_x0000_s1026" type="#_x0000_t202" style="position:absolute;margin-left:312.75pt;margin-top:-9.15pt;width:252.45pt;height:33.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" filled="f" stroked="f" strokeweight=".5pt">
              <v:textbox inset="0,0,0,0">
                <w:txbxContent>
                  <w:p w14:paraId="741176A5" w14:textId="1048D448" w:rsidR="009812F4" w:rsidRPr="009812F4" w:rsidRDefault="009812F4" w:rsidP="009812F4">
                    <w:pPr>
                      <w:pStyle w:val="INTERNALCOMMheading"/>
                      <w:rPr>
                        <w:spacing w:val="0"/>
                        <w:sz w:val="40"/>
                        <w:szCs w:val="40"/>
                      </w:rPr>
                    </w:pPr>
                    <w:r>
                      <w:rPr>
                        <w:spacing w:val="0"/>
                        <w:sz w:val="40"/>
                        <w:szCs w:val="40"/>
                        <w:lang w:bidi="fr-FR"/>
                      </w:rPr>
                      <w:t>Synthèse de rapport</w:t>
                    </w:r>
                  </w:p>
                </w:txbxContent>
              </v:textbox>
            </v:shape>
          </w:pict>
        </mc:Fallback>
      </mc:AlternateContent>
    </w:r>
    <w:r>
      <w:rPr>
        <w:noProof/>
        <w:lang w:bidi="fr-FR"/>
      </w:rPr>
      <w:drawing>
        <wp:anchor distT="0" distB="0" distL="114300" distR="114300" simplePos="0" relativeHeight="251661312" behindDoc="0" locked="0" layoutInCell="1" allowOverlap="1" wp14:anchorId="251C8779" wp14:editId="46192A71">
          <wp:simplePos x="0" y="0"/>
          <wp:positionH relativeFrom="column">
            <wp:posOffset>-619125</wp:posOffset>
          </wp:positionH>
          <wp:positionV relativeFrom="paragraph">
            <wp:posOffset>-876300</wp:posOffset>
          </wp:positionV>
          <wp:extent cx="1939925" cy="1090295"/>
          <wp:effectExtent l="0" t="0" r="0" b="0"/>
          <wp:wrapNone/>
          <wp:docPr id="1243735077"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735077" name="Picture 1243735077"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l="-39217" t="-198566" r="-2110" b="-5654"/>
                  <a:stretch/>
                </pic:blipFill>
                <pic:spPr bwMode="auto">
                  <a:xfrm>
                    <a:off x="0" y="0"/>
                    <a:ext cx="1939925" cy="1090295"/>
                  </a:xfrm>
                  <a:prstGeom prst="rect">
                    <a:avLst/>
                  </a:prstGeom>
                  <a:ln>
                    <a:noFill/>
                  </a:ln>
                  <a:extLst>
                    <a:ext uri="{53640926-AAD7-44D8-BBD7-CCE9431645EC}">
                      <a14:shadowObscured xmlns:a14="http://schemas.microsoft.com/office/drawing/2010/main"/>
                    </a:ext>
                  </a:extLst>
                </pic:spPr>
              </pic:pic>
            </a:graphicData>
          </a:graphic>
        </wp:anchor>
      </w:drawing>
    </w:r>
    <w:r>
      <w:rPr>
        <w:noProof/>
        <w:lang w:bidi="fr-FR"/>
      </w:rPr>
      <mc:AlternateContent>
        <mc:Choice Requires="wps">
          <w:drawing>
            <wp:anchor distT="0" distB="0" distL="114300" distR="114300" simplePos="0" relativeHeight="251664384" behindDoc="0" locked="0" layoutInCell="1" allowOverlap="1" wp14:anchorId="1DF0774C" wp14:editId="6DCE34EF">
              <wp:simplePos x="0" y="0"/>
              <wp:positionH relativeFrom="column">
                <wp:posOffset>4070985</wp:posOffset>
              </wp:positionH>
              <wp:positionV relativeFrom="paragraph">
                <wp:posOffset>-427355</wp:posOffset>
              </wp:positionV>
              <wp:extent cx="2591447" cy="179398"/>
              <wp:effectExtent l="0" t="0" r="0" b="0"/>
              <wp:wrapNone/>
              <wp:docPr id="162816723" name="Rectangle 2"/>
              <wp:cNvGraphicFramePr/>
              <a:graphic xmlns:a="http://schemas.openxmlformats.org/drawingml/2006/main">
                <a:graphicData uri="http://schemas.microsoft.com/office/word/2010/wordprocessingShape">
                  <wps:wsp>
                    <wps:cNvSpPr/>
                    <wps:spPr>
                      <a:xfrm>
                        <a:off x="0" y="0"/>
                        <a:ext cx="2591447" cy="179398"/>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AFE5AAE" id="Rectangle 2" o:spid="_x0000_s1026" style="position:absolute;margin-left:320.55pt;margin-top:-33.65pt;width:204.05pt;height:14.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" fillcolor="#002060" stroked="f" strokeweight="1.5pt"/>
          </w:pict>
        </mc:Fallback>
      </mc:AlternateContent>
    </w:r>
    <w:r>
      <w:rPr>
        <w:noProof/>
        <w:lang w:bidi="fr-FR"/>
      </w:rPr>
      <mc:AlternateContent>
        <mc:Choice Requires="wps">
          <w:drawing>
            <wp:anchor distT="0" distB="0" distL="114300" distR="114300" simplePos="0" relativeHeight="251660288" behindDoc="0" locked="0" layoutInCell="1" allowOverlap="1" wp14:anchorId="0CDB4048" wp14:editId="146141B0">
              <wp:simplePos x="0" y="0"/>
              <wp:positionH relativeFrom="column">
                <wp:posOffset>9400540</wp:posOffset>
              </wp:positionH>
              <wp:positionV relativeFrom="paragraph">
                <wp:posOffset>-367030</wp:posOffset>
              </wp:positionV>
              <wp:extent cx="2591435" cy="179070"/>
              <wp:effectExtent l="0" t="0" r="0" b="0"/>
              <wp:wrapNone/>
              <wp:docPr id="525589621" name="Rectangle 2"/>
              <wp:cNvGraphicFramePr/>
              <a:graphic xmlns:a="http://schemas.openxmlformats.org/drawingml/2006/main">
                <a:graphicData uri="http://schemas.microsoft.com/office/word/2010/wordprocessingShape">
                  <wps:wsp>
                    <wps:cNvSpPr/>
                    <wps:spPr>
                      <a:xfrm>
                        <a:off x="0" y="0"/>
                        <a:ext cx="2591435" cy="179070"/>
                      </a:xfrm>
                      <a:prstGeom prst="rect">
                        <a:avLst/>
                      </a:prstGeom>
                      <a:solidFill>
                        <a:schemeClr val="tx2">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448F9E" id="Rectangle 2" o:spid="_x0000_s1026" style="position:absolute;margin-left:740.2pt;margin-top:-28.9pt;width:204.05pt;height:14.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" fillcolor="#215e99 [2431]" stroked="f" strokeweight="1.5pt"/>
          </w:pict>
        </mc:Fallback>
      </mc:AlternateContent>
    </w:r>
    <w:r>
      <w:rPr>
        <w:noProof/>
        <w:lang w:bidi="fr-FR"/>
      </w:rPr>
      <mc:AlternateContent>
        <mc:Choice Requires="wps">
          <w:drawing>
            <wp:anchor distT="0" distB="0" distL="114300" distR="114300" simplePos="0" relativeHeight="251659264" behindDoc="0" locked="0" layoutInCell="1" allowOverlap="1" wp14:anchorId="5B66FB06" wp14:editId="5F43750D">
              <wp:simplePos x="0" y="0"/>
              <wp:positionH relativeFrom="column">
                <wp:posOffset>9373870</wp:posOffset>
              </wp:positionH>
              <wp:positionV relativeFrom="paragraph">
                <wp:posOffset>492760</wp:posOffset>
              </wp:positionV>
              <wp:extent cx="2282201" cy="427258"/>
              <wp:effectExtent l="0" t="0" r="0" b="0"/>
              <wp:wrapNone/>
              <wp:docPr id="1620126841" name="Text Box 1"/>
              <wp:cNvGraphicFramePr/>
              <a:graphic xmlns:a="http://schemas.openxmlformats.org/drawingml/2006/main">
                <a:graphicData uri="http://schemas.microsoft.com/office/word/2010/wordprocessingShape">
                  <wps:wsp>
                    <wps:cNvSpPr txBox="1"/>
                    <wps:spPr>
                      <a:xfrm>
                        <a:off x="0" y="0"/>
                        <a:ext cx="2282201" cy="427258"/>
                      </a:xfrm>
                      <a:prstGeom prst="rect">
                        <a:avLst/>
                      </a:prstGeom>
                      <a:noFill/>
                      <a:ln w="6350">
                        <a:noFill/>
                      </a:ln>
                    </wps:spPr>
                    <wps:txbx>
                      <w:txbxContent>
                        <w:p w14:paraId="14F46D93" w14:textId="77777777" w:rsidR="009812F4" w:rsidRPr="00A1798E" w:rsidRDefault="009812F4" w:rsidP="009812F4">
                          <w:pPr>
                            <w:pStyle w:val="INTERNALCOMMheading"/>
                            <w:rPr>
                              <w:spacing w:val="0"/>
                              <w:sz w:val="50"/>
                              <w:szCs w:val="50"/>
                            </w:rPr>
                          </w:pPr>
                          <w:r w:rsidRPr="00A1798E">
                            <w:rPr>
                              <w:spacing w:val="0"/>
                              <w:sz w:val="50"/>
                              <w:szCs w:val="50"/>
                              <w:lang w:bidi="fr-FR"/>
                            </w:rPr>
                            <w:t>Communiqué de presse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5B66FB06" id="_x0000_s1027" type="#_x0000_t202" style="position:absolute;margin-left:738.1pt;margin-top:38.8pt;width:179.7pt;height:33.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" filled="f" stroked="f" strokeweight=".5pt">
              <v:textbox inset="0,0,0,0">
                <w:txbxContent>
                  <w:p w14:paraId="14F46D93" w14:textId="77777777" w:rsidR="009812F4" w:rsidRPr="00A1798E" w:rsidRDefault="009812F4" w:rsidP="009812F4">
                    <w:pPr>
                      <w:pStyle w:val="INTERNALCOMMheading"/>
                      <w:rPr>
                        <w:spacing w:val="0"/>
                        <w:sz w:val="50"/>
                        <w:szCs w:val="50"/>
                      </w:rPr>
                    </w:pPr>
                    <w:r w:rsidRPr="00A1798E">
                      <w:rPr>
                        <w:spacing w:val="0"/>
                        <w:sz w:val="50"/>
                        <w:szCs w:val="50"/>
                        <w:lang w:bidi="fr-FR"/>
                      </w:rPr>
                      <w:t>Communiqué de presse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818C6"/>
    <w:multiLevelType w:val="hybridMultilevel"/>
    <w:tmpl w:val="3416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81F4E"/>
    <w:multiLevelType w:val="multilevel"/>
    <w:tmpl w:val="434C2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47018"/>
    <w:multiLevelType w:val="hybridMultilevel"/>
    <w:tmpl w:val="3A82F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EE0BE9"/>
    <w:multiLevelType w:val="hybridMultilevel"/>
    <w:tmpl w:val="3C748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8461FD"/>
    <w:multiLevelType w:val="hybridMultilevel"/>
    <w:tmpl w:val="FC5E3F8C"/>
    <w:lvl w:ilvl="0" w:tplc="24DEAF3C">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87503B"/>
    <w:multiLevelType w:val="hybridMultilevel"/>
    <w:tmpl w:val="7FCEA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1A5EA1"/>
    <w:multiLevelType w:val="hybridMultilevel"/>
    <w:tmpl w:val="46F6B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B5493A"/>
    <w:multiLevelType w:val="hybridMultilevel"/>
    <w:tmpl w:val="D6DC7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407222"/>
    <w:multiLevelType w:val="hybridMultilevel"/>
    <w:tmpl w:val="C2C69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4F3142"/>
    <w:multiLevelType w:val="hybridMultilevel"/>
    <w:tmpl w:val="FC7CE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061F96"/>
    <w:multiLevelType w:val="hybridMultilevel"/>
    <w:tmpl w:val="9FB8F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A47893"/>
    <w:multiLevelType w:val="hybridMultilevel"/>
    <w:tmpl w:val="A60C883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9D2654"/>
    <w:multiLevelType w:val="hybridMultilevel"/>
    <w:tmpl w:val="3ABCAE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5F2E10"/>
    <w:multiLevelType w:val="hybridMultilevel"/>
    <w:tmpl w:val="0E16D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8314A7"/>
    <w:multiLevelType w:val="hybridMultilevel"/>
    <w:tmpl w:val="1A7E9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2C2860"/>
    <w:multiLevelType w:val="hybridMultilevel"/>
    <w:tmpl w:val="47945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B632BF"/>
    <w:multiLevelType w:val="hybridMultilevel"/>
    <w:tmpl w:val="1712903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B3502FB"/>
    <w:multiLevelType w:val="hybridMultilevel"/>
    <w:tmpl w:val="FFB2F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643A23"/>
    <w:multiLevelType w:val="hybridMultilevel"/>
    <w:tmpl w:val="017AF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9A5D20"/>
    <w:multiLevelType w:val="multilevel"/>
    <w:tmpl w:val="A0B6074E"/>
    <w:styleLink w:val="CurrentList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FC861C2"/>
    <w:multiLevelType w:val="hybridMultilevel"/>
    <w:tmpl w:val="565C8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9524923">
    <w:abstractNumId w:val="12"/>
  </w:num>
  <w:num w:numId="2" w16cid:durableId="666984739">
    <w:abstractNumId w:val="5"/>
  </w:num>
  <w:num w:numId="3" w16cid:durableId="26100754">
    <w:abstractNumId w:val="3"/>
  </w:num>
  <w:num w:numId="4" w16cid:durableId="2033216260">
    <w:abstractNumId w:val="6"/>
  </w:num>
  <w:num w:numId="5" w16cid:durableId="363675782">
    <w:abstractNumId w:val="8"/>
  </w:num>
  <w:num w:numId="6" w16cid:durableId="94138782">
    <w:abstractNumId w:val="15"/>
  </w:num>
  <w:num w:numId="7" w16cid:durableId="884751185">
    <w:abstractNumId w:val="20"/>
  </w:num>
  <w:num w:numId="8" w16cid:durableId="1123307342">
    <w:abstractNumId w:val="7"/>
  </w:num>
  <w:num w:numId="9" w16cid:durableId="414401943">
    <w:abstractNumId w:val="14"/>
  </w:num>
  <w:num w:numId="10" w16cid:durableId="403601310">
    <w:abstractNumId w:val="1"/>
  </w:num>
  <w:num w:numId="11" w16cid:durableId="1882595421">
    <w:abstractNumId w:val="9"/>
  </w:num>
  <w:num w:numId="12" w16cid:durableId="1180241218">
    <w:abstractNumId w:val="10"/>
  </w:num>
  <w:num w:numId="13" w16cid:durableId="1815443813">
    <w:abstractNumId w:val="13"/>
  </w:num>
  <w:num w:numId="14" w16cid:durableId="1017343491">
    <w:abstractNumId w:val="19"/>
  </w:num>
  <w:num w:numId="15" w16cid:durableId="2114322596">
    <w:abstractNumId w:val="18"/>
  </w:num>
  <w:num w:numId="16" w16cid:durableId="2139949235">
    <w:abstractNumId w:val="17"/>
  </w:num>
  <w:num w:numId="17" w16cid:durableId="1471242122">
    <w:abstractNumId w:val="16"/>
  </w:num>
  <w:num w:numId="18" w16cid:durableId="572548058">
    <w:abstractNumId w:val="11"/>
  </w:num>
  <w:num w:numId="19" w16cid:durableId="340009244">
    <w:abstractNumId w:val="4"/>
  </w:num>
  <w:num w:numId="20" w16cid:durableId="866874071">
    <w:abstractNumId w:val="2"/>
  </w:num>
  <w:num w:numId="21" w16cid:durableId="247035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A20"/>
    <w:rsid w:val="00001E00"/>
    <w:rsid w:val="000052DD"/>
    <w:rsid w:val="0001290F"/>
    <w:rsid w:val="00024BDC"/>
    <w:rsid w:val="000278A7"/>
    <w:rsid w:val="0003134E"/>
    <w:rsid w:val="00032C23"/>
    <w:rsid w:val="00035813"/>
    <w:rsid w:val="000368A4"/>
    <w:rsid w:val="00044B40"/>
    <w:rsid w:val="000551D0"/>
    <w:rsid w:val="000703C7"/>
    <w:rsid w:val="00071184"/>
    <w:rsid w:val="000742CD"/>
    <w:rsid w:val="000764E3"/>
    <w:rsid w:val="00082667"/>
    <w:rsid w:val="00086BC5"/>
    <w:rsid w:val="000901B8"/>
    <w:rsid w:val="00095EC8"/>
    <w:rsid w:val="0009755B"/>
    <w:rsid w:val="000A11E3"/>
    <w:rsid w:val="000A3C12"/>
    <w:rsid w:val="000A6CD4"/>
    <w:rsid w:val="000A7EC5"/>
    <w:rsid w:val="000B346E"/>
    <w:rsid w:val="000B3A23"/>
    <w:rsid w:val="000B411C"/>
    <w:rsid w:val="000B5A1D"/>
    <w:rsid w:val="000B6BDB"/>
    <w:rsid w:val="000C0C97"/>
    <w:rsid w:val="000C3479"/>
    <w:rsid w:val="000C6209"/>
    <w:rsid w:val="000D0CE4"/>
    <w:rsid w:val="000D2672"/>
    <w:rsid w:val="000E0723"/>
    <w:rsid w:val="000E3DC6"/>
    <w:rsid w:val="000E3F12"/>
    <w:rsid w:val="000E479A"/>
    <w:rsid w:val="000E5D1D"/>
    <w:rsid w:val="000F0D43"/>
    <w:rsid w:val="000F341D"/>
    <w:rsid w:val="000F4A90"/>
    <w:rsid w:val="00103E19"/>
    <w:rsid w:val="00104ACC"/>
    <w:rsid w:val="0011452C"/>
    <w:rsid w:val="00114898"/>
    <w:rsid w:val="0011559F"/>
    <w:rsid w:val="00126D79"/>
    <w:rsid w:val="0013369B"/>
    <w:rsid w:val="00136692"/>
    <w:rsid w:val="0013676C"/>
    <w:rsid w:val="00137ACA"/>
    <w:rsid w:val="00137E64"/>
    <w:rsid w:val="00141C2E"/>
    <w:rsid w:val="00142DC4"/>
    <w:rsid w:val="00143A19"/>
    <w:rsid w:val="00146A36"/>
    <w:rsid w:val="00151024"/>
    <w:rsid w:val="001548A2"/>
    <w:rsid w:val="001608BB"/>
    <w:rsid w:val="001623E9"/>
    <w:rsid w:val="0016497F"/>
    <w:rsid w:val="001728EA"/>
    <w:rsid w:val="001732DE"/>
    <w:rsid w:val="0018231B"/>
    <w:rsid w:val="00187389"/>
    <w:rsid w:val="00187BF2"/>
    <w:rsid w:val="00187FB3"/>
    <w:rsid w:val="0019157E"/>
    <w:rsid w:val="00191C65"/>
    <w:rsid w:val="00193649"/>
    <w:rsid w:val="001A12EB"/>
    <w:rsid w:val="001A5E2D"/>
    <w:rsid w:val="001A6B91"/>
    <w:rsid w:val="001B3A5E"/>
    <w:rsid w:val="001B43B5"/>
    <w:rsid w:val="001B65D0"/>
    <w:rsid w:val="001C3DDB"/>
    <w:rsid w:val="001C4AA4"/>
    <w:rsid w:val="001C612E"/>
    <w:rsid w:val="001C74E7"/>
    <w:rsid w:val="001C7AD0"/>
    <w:rsid w:val="001D2171"/>
    <w:rsid w:val="001D3AD0"/>
    <w:rsid w:val="001D5F6D"/>
    <w:rsid w:val="001D62C4"/>
    <w:rsid w:val="001E1973"/>
    <w:rsid w:val="001E1AC4"/>
    <w:rsid w:val="001E5A35"/>
    <w:rsid w:val="001F36C9"/>
    <w:rsid w:val="001F4458"/>
    <w:rsid w:val="0020114D"/>
    <w:rsid w:val="002120DA"/>
    <w:rsid w:val="002121EC"/>
    <w:rsid w:val="0021537D"/>
    <w:rsid w:val="00223A35"/>
    <w:rsid w:val="00232165"/>
    <w:rsid w:val="002364FF"/>
    <w:rsid w:val="0024296D"/>
    <w:rsid w:val="00243131"/>
    <w:rsid w:val="0024471F"/>
    <w:rsid w:val="00244BB9"/>
    <w:rsid w:val="002509BD"/>
    <w:rsid w:val="00256D56"/>
    <w:rsid w:val="002601C4"/>
    <w:rsid w:val="00260C26"/>
    <w:rsid w:val="0026292A"/>
    <w:rsid w:val="00262FF7"/>
    <w:rsid w:val="002661F0"/>
    <w:rsid w:val="002700ED"/>
    <w:rsid w:val="002710EE"/>
    <w:rsid w:val="00271DFA"/>
    <w:rsid w:val="0027332A"/>
    <w:rsid w:val="00274D53"/>
    <w:rsid w:val="0028023D"/>
    <w:rsid w:val="00284DFD"/>
    <w:rsid w:val="002866BB"/>
    <w:rsid w:val="00291127"/>
    <w:rsid w:val="00297858"/>
    <w:rsid w:val="002B3039"/>
    <w:rsid w:val="002B6694"/>
    <w:rsid w:val="002C1CE2"/>
    <w:rsid w:val="002C35BD"/>
    <w:rsid w:val="002D5839"/>
    <w:rsid w:val="002D766F"/>
    <w:rsid w:val="002F51D7"/>
    <w:rsid w:val="002F7728"/>
    <w:rsid w:val="00300E29"/>
    <w:rsid w:val="00303A1E"/>
    <w:rsid w:val="00314CCF"/>
    <w:rsid w:val="0032000F"/>
    <w:rsid w:val="003318EE"/>
    <w:rsid w:val="00331CEB"/>
    <w:rsid w:val="003328DD"/>
    <w:rsid w:val="003331A4"/>
    <w:rsid w:val="00340C06"/>
    <w:rsid w:val="003419C7"/>
    <w:rsid w:val="00341C8D"/>
    <w:rsid w:val="0035097C"/>
    <w:rsid w:val="0035229C"/>
    <w:rsid w:val="00352680"/>
    <w:rsid w:val="00357F92"/>
    <w:rsid w:val="0036133A"/>
    <w:rsid w:val="0036198C"/>
    <w:rsid w:val="00362D1E"/>
    <w:rsid w:val="003775F1"/>
    <w:rsid w:val="00385522"/>
    <w:rsid w:val="00385C38"/>
    <w:rsid w:val="003866AB"/>
    <w:rsid w:val="00390137"/>
    <w:rsid w:val="00391008"/>
    <w:rsid w:val="003913C5"/>
    <w:rsid w:val="003923F5"/>
    <w:rsid w:val="003931D8"/>
    <w:rsid w:val="003A241A"/>
    <w:rsid w:val="003A5AE2"/>
    <w:rsid w:val="003A6A50"/>
    <w:rsid w:val="003B0143"/>
    <w:rsid w:val="003B191A"/>
    <w:rsid w:val="003B5BBB"/>
    <w:rsid w:val="003B7323"/>
    <w:rsid w:val="003C099F"/>
    <w:rsid w:val="003C16A7"/>
    <w:rsid w:val="003D47CB"/>
    <w:rsid w:val="003D6B47"/>
    <w:rsid w:val="003D77E9"/>
    <w:rsid w:val="003E18CB"/>
    <w:rsid w:val="003F623F"/>
    <w:rsid w:val="00402405"/>
    <w:rsid w:val="00402AB7"/>
    <w:rsid w:val="00402AF2"/>
    <w:rsid w:val="0040582A"/>
    <w:rsid w:val="00410D18"/>
    <w:rsid w:val="00415249"/>
    <w:rsid w:val="00415860"/>
    <w:rsid w:val="00417ACE"/>
    <w:rsid w:val="00424E05"/>
    <w:rsid w:val="0042592A"/>
    <w:rsid w:val="0043215F"/>
    <w:rsid w:val="00432330"/>
    <w:rsid w:val="00432523"/>
    <w:rsid w:val="004350A3"/>
    <w:rsid w:val="00442091"/>
    <w:rsid w:val="00450B9F"/>
    <w:rsid w:val="00454398"/>
    <w:rsid w:val="00454EDE"/>
    <w:rsid w:val="00457637"/>
    <w:rsid w:val="0045780C"/>
    <w:rsid w:val="00457C4B"/>
    <w:rsid w:val="00463262"/>
    <w:rsid w:val="00470159"/>
    <w:rsid w:val="004715E5"/>
    <w:rsid w:val="00471865"/>
    <w:rsid w:val="00475A04"/>
    <w:rsid w:val="00485C01"/>
    <w:rsid w:val="00490A21"/>
    <w:rsid w:val="004968FC"/>
    <w:rsid w:val="004A13B0"/>
    <w:rsid w:val="004A3F94"/>
    <w:rsid w:val="004A42D1"/>
    <w:rsid w:val="004B1D8A"/>
    <w:rsid w:val="004B2E09"/>
    <w:rsid w:val="004B47C6"/>
    <w:rsid w:val="004B5D1C"/>
    <w:rsid w:val="004C100F"/>
    <w:rsid w:val="004C2DB8"/>
    <w:rsid w:val="004C320B"/>
    <w:rsid w:val="004C4A5D"/>
    <w:rsid w:val="004C605C"/>
    <w:rsid w:val="004D1C27"/>
    <w:rsid w:val="004D3F51"/>
    <w:rsid w:val="004D561C"/>
    <w:rsid w:val="004D6062"/>
    <w:rsid w:val="004D6743"/>
    <w:rsid w:val="004D6E2F"/>
    <w:rsid w:val="004E1AAF"/>
    <w:rsid w:val="004F0E7E"/>
    <w:rsid w:val="004F2639"/>
    <w:rsid w:val="004F6439"/>
    <w:rsid w:val="00501D7A"/>
    <w:rsid w:val="0050392A"/>
    <w:rsid w:val="00504DC3"/>
    <w:rsid w:val="00506E60"/>
    <w:rsid w:val="00510C9F"/>
    <w:rsid w:val="005127B1"/>
    <w:rsid w:val="005275BC"/>
    <w:rsid w:val="00531BA4"/>
    <w:rsid w:val="0053661A"/>
    <w:rsid w:val="005375C7"/>
    <w:rsid w:val="00537853"/>
    <w:rsid w:val="00540494"/>
    <w:rsid w:val="0054256F"/>
    <w:rsid w:val="005427B2"/>
    <w:rsid w:val="00544199"/>
    <w:rsid w:val="00547E1B"/>
    <w:rsid w:val="0055509B"/>
    <w:rsid w:val="00556D87"/>
    <w:rsid w:val="0056449B"/>
    <w:rsid w:val="00573646"/>
    <w:rsid w:val="0057633C"/>
    <w:rsid w:val="00577136"/>
    <w:rsid w:val="005828C8"/>
    <w:rsid w:val="00583632"/>
    <w:rsid w:val="00595521"/>
    <w:rsid w:val="005A02D4"/>
    <w:rsid w:val="005A0D98"/>
    <w:rsid w:val="005A11FB"/>
    <w:rsid w:val="005A2BEA"/>
    <w:rsid w:val="005A66A2"/>
    <w:rsid w:val="005B5853"/>
    <w:rsid w:val="005B5858"/>
    <w:rsid w:val="005B5DFD"/>
    <w:rsid w:val="005B61EB"/>
    <w:rsid w:val="005B7694"/>
    <w:rsid w:val="005C0A20"/>
    <w:rsid w:val="005C15A2"/>
    <w:rsid w:val="005E1B08"/>
    <w:rsid w:val="005E4725"/>
    <w:rsid w:val="005E4DED"/>
    <w:rsid w:val="005E6F74"/>
    <w:rsid w:val="005E7864"/>
    <w:rsid w:val="005E7F43"/>
    <w:rsid w:val="00601C13"/>
    <w:rsid w:val="006034E0"/>
    <w:rsid w:val="00607ED1"/>
    <w:rsid w:val="00607EF4"/>
    <w:rsid w:val="006203F9"/>
    <w:rsid w:val="006224F2"/>
    <w:rsid w:val="00626032"/>
    <w:rsid w:val="00627D85"/>
    <w:rsid w:val="00634907"/>
    <w:rsid w:val="00634AE4"/>
    <w:rsid w:val="0065197E"/>
    <w:rsid w:val="00657204"/>
    <w:rsid w:val="0065745E"/>
    <w:rsid w:val="00660E7F"/>
    <w:rsid w:val="006629BC"/>
    <w:rsid w:val="00664CAD"/>
    <w:rsid w:val="0066796A"/>
    <w:rsid w:val="0066796B"/>
    <w:rsid w:val="00667BA6"/>
    <w:rsid w:val="00667DFA"/>
    <w:rsid w:val="00671909"/>
    <w:rsid w:val="00672DE9"/>
    <w:rsid w:val="00673EEF"/>
    <w:rsid w:val="0068136A"/>
    <w:rsid w:val="0068174E"/>
    <w:rsid w:val="00683651"/>
    <w:rsid w:val="006869E5"/>
    <w:rsid w:val="00686B02"/>
    <w:rsid w:val="006913F4"/>
    <w:rsid w:val="006942C2"/>
    <w:rsid w:val="00694B84"/>
    <w:rsid w:val="00697872"/>
    <w:rsid w:val="00697E65"/>
    <w:rsid w:val="006A4C90"/>
    <w:rsid w:val="006A5F96"/>
    <w:rsid w:val="006A615C"/>
    <w:rsid w:val="006A69B3"/>
    <w:rsid w:val="006C1555"/>
    <w:rsid w:val="006C1D97"/>
    <w:rsid w:val="006D0D2F"/>
    <w:rsid w:val="006D351E"/>
    <w:rsid w:val="006D488C"/>
    <w:rsid w:val="006E1826"/>
    <w:rsid w:val="006E1A4E"/>
    <w:rsid w:val="006E294F"/>
    <w:rsid w:val="006E4C68"/>
    <w:rsid w:val="006E76F9"/>
    <w:rsid w:val="006F1556"/>
    <w:rsid w:val="006F1745"/>
    <w:rsid w:val="006F6E89"/>
    <w:rsid w:val="00702262"/>
    <w:rsid w:val="007026C6"/>
    <w:rsid w:val="00706BE1"/>
    <w:rsid w:val="00715566"/>
    <w:rsid w:val="007179D7"/>
    <w:rsid w:val="00732040"/>
    <w:rsid w:val="0073208B"/>
    <w:rsid w:val="0073214C"/>
    <w:rsid w:val="00745DDD"/>
    <w:rsid w:val="007512E3"/>
    <w:rsid w:val="00754E13"/>
    <w:rsid w:val="00757CDB"/>
    <w:rsid w:val="007628C2"/>
    <w:rsid w:val="007631A4"/>
    <w:rsid w:val="007636A7"/>
    <w:rsid w:val="00765414"/>
    <w:rsid w:val="00767559"/>
    <w:rsid w:val="00775402"/>
    <w:rsid w:val="00775531"/>
    <w:rsid w:val="00776519"/>
    <w:rsid w:val="0077709C"/>
    <w:rsid w:val="0078494F"/>
    <w:rsid w:val="00785B2D"/>
    <w:rsid w:val="00793064"/>
    <w:rsid w:val="0079656C"/>
    <w:rsid w:val="007B28F7"/>
    <w:rsid w:val="007B53C9"/>
    <w:rsid w:val="007B6670"/>
    <w:rsid w:val="007C040F"/>
    <w:rsid w:val="007C47EE"/>
    <w:rsid w:val="007C5938"/>
    <w:rsid w:val="007D0A03"/>
    <w:rsid w:val="007D0CD7"/>
    <w:rsid w:val="007D4497"/>
    <w:rsid w:val="007E0155"/>
    <w:rsid w:val="007E674E"/>
    <w:rsid w:val="007E7ABA"/>
    <w:rsid w:val="007F0AED"/>
    <w:rsid w:val="007F140B"/>
    <w:rsid w:val="007F7F33"/>
    <w:rsid w:val="00800BC9"/>
    <w:rsid w:val="00802753"/>
    <w:rsid w:val="00803975"/>
    <w:rsid w:val="00803CB9"/>
    <w:rsid w:val="008145E5"/>
    <w:rsid w:val="008225E4"/>
    <w:rsid w:val="0082289E"/>
    <w:rsid w:val="00827588"/>
    <w:rsid w:val="0082758A"/>
    <w:rsid w:val="008316C4"/>
    <w:rsid w:val="00835869"/>
    <w:rsid w:val="0083604B"/>
    <w:rsid w:val="0084246E"/>
    <w:rsid w:val="008427BB"/>
    <w:rsid w:val="00842816"/>
    <w:rsid w:val="00856FF9"/>
    <w:rsid w:val="00861BFF"/>
    <w:rsid w:val="008770BD"/>
    <w:rsid w:val="00881430"/>
    <w:rsid w:val="0088659B"/>
    <w:rsid w:val="00886811"/>
    <w:rsid w:val="008868C8"/>
    <w:rsid w:val="00886974"/>
    <w:rsid w:val="00887136"/>
    <w:rsid w:val="00891486"/>
    <w:rsid w:val="00892BCA"/>
    <w:rsid w:val="00893451"/>
    <w:rsid w:val="00893DFE"/>
    <w:rsid w:val="0089622A"/>
    <w:rsid w:val="008A2B9E"/>
    <w:rsid w:val="008A7508"/>
    <w:rsid w:val="008B2EA8"/>
    <w:rsid w:val="008B3F4F"/>
    <w:rsid w:val="008B481B"/>
    <w:rsid w:val="008B6A9E"/>
    <w:rsid w:val="008C748E"/>
    <w:rsid w:val="008E060B"/>
    <w:rsid w:val="008E1735"/>
    <w:rsid w:val="008E6042"/>
    <w:rsid w:val="00905D5D"/>
    <w:rsid w:val="009077BA"/>
    <w:rsid w:val="00916B39"/>
    <w:rsid w:val="00917544"/>
    <w:rsid w:val="00922E9C"/>
    <w:rsid w:val="00926787"/>
    <w:rsid w:val="00932859"/>
    <w:rsid w:val="009411DC"/>
    <w:rsid w:val="00941B8F"/>
    <w:rsid w:val="009422AA"/>
    <w:rsid w:val="00944A42"/>
    <w:rsid w:val="0095300D"/>
    <w:rsid w:val="009544F7"/>
    <w:rsid w:val="00960F76"/>
    <w:rsid w:val="00965D86"/>
    <w:rsid w:val="00966DBB"/>
    <w:rsid w:val="009732E0"/>
    <w:rsid w:val="00974A32"/>
    <w:rsid w:val="009812F4"/>
    <w:rsid w:val="00982991"/>
    <w:rsid w:val="00986229"/>
    <w:rsid w:val="00986710"/>
    <w:rsid w:val="009869A5"/>
    <w:rsid w:val="00991BE8"/>
    <w:rsid w:val="00994069"/>
    <w:rsid w:val="00996BDA"/>
    <w:rsid w:val="009A0489"/>
    <w:rsid w:val="009A1054"/>
    <w:rsid w:val="009A1735"/>
    <w:rsid w:val="009A2606"/>
    <w:rsid w:val="009A6EFC"/>
    <w:rsid w:val="009B018D"/>
    <w:rsid w:val="009B2C90"/>
    <w:rsid w:val="009B4757"/>
    <w:rsid w:val="009B6E60"/>
    <w:rsid w:val="009C13D2"/>
    <w:rsid w:val="009C6E5D"/>
    <w:rsid w:val="009C7AAA"/>
    <w:rsid w:val="009C7C61"/>
    <w:rsid w:val="009D18BC"/>
    <w:rsid w:val="009D60E2"/>
    <w:rsid w:val="009E0E30"/>
    <w:rsid w:val="009E0EC1"/>
    <w:rsid w:val="009E1CA5"/>
    <w:rsid w:val="009E2017"/>
    <w:rsid w:val="009E3CC5"/>
    <w:rsid w:val="009F687A"/>
    <w:rsid w:val="00A00A4C"/>
    <w:rsid w:val="00A01C6B"/>
    <w:rsid w:val="00A027FB"/>
    <w:rsid w:val="00A055FD"/>
    <w:rsid w:val="00A076A0"/>
    <w:rsid w:val="00A11093"/>
    <w:rsid w:val="00A164BE"/>
    <w:rsid w:val="00A24116"/>
    <w:rsid w:val="00A26650"/>
    <w:rsid w:val="00A27E86"/>
    <w:rsid w:val="00A31000"/>
    <w:rsid w:val="00A320A1"/>
    <w:rsid w:val="00A34D1D"/>
    <w:rsid w:val="00A37640"/>
    <w:rsid w:val="00A42B9A"/>
    <w:rsid w:val="00A445AE"/>
    <w:rsid w:val="00A44C9F"/>
    <w:rsid w:val="00A50DDD"/>
    <w:rsid w:val="00A537C6"/>
    <w:rsid w:val="00A5434A"/>
    <w:rsid w:val="00A55AB0"/>
    <w:rsid w:val="00A61342"/>
    <w:rsid w:val="00A66680"/>
    <w:rsid w:val="00A6765F"/>
    <w:rsid w:val="00A73B48"/>
    <w:rsid w:val="00A75C6D"/>
    <w:rsid w:val="00A822D2"/>
    <w:rsid w:val="00A8348C"/>
    <w:rsid w:val="00A84D23"/>
    <w:rsid w:val="00A87F2B"/>
    <w:rsid w:val="00A90209"/>
    <w:rsid w:val="00A914F5"/>
    <w:rsid w:val="00A93B70"/>
    <w:rsid w:val="00A96C05"/>
    <w:rsid w:val="00A96E75"/>
    <w:rsid w:val="00AA2DF7"/>
    <w:rsid w:val="00AA65CD"/>
    <w:rsid w:val="00AB0571"/>
    <w:rsid w:val="00AB0C72"/>
    <w:rsid w:val="00AB3A11"/>
    <w:rsid w:val="00AB5E23"/>
    <w:rsid w:val="00AC1BC6"/>
    <w:rsid w:val="00AC2029"/>
    <w:rsid w:val="00AC2E8B"/>
    <w:rsid w:val="00AD1B70"/>
    <w:rsid w:val="00AD2DF1"/>
    <w:rsid w:val="00AD384D"/>
    <w:rsid w:val="00AD7DB4"/>
    <w:rsid w:val="00AE0167"/>
    <w:rsid w:val="00AE1DB1"/>
    <w:rsid w:val="00AE2515"/>
    <w:rsid w:val="00AF2E13"/>
    <w:rsid w:val="00AF5950"/>
    <w:rsid w:val="00B0176E"/>
    <w:rsid w:val="00B04E44"/>
    <w:rsid w:val="00B069C9"/>
    <w:rsid w:val="00B23B17"/>
    <w:rsid w:val="00B30140"/>
    <w:rsid w:val="00B32501"/>
    <w:rsid w:val="00B3315C"/>
    <w:rsid w:val="00B34380"/>
    <w:rsid w:val="00B34CCD"/>
    <w:rsid w:val="00B511AA"/>
    <w:rsid w:val="00B52598"/>
    <w:rsid w:val="00B6158B"/>
    <w:rsid w:val="00B6287D"/>
    <w:rsid w:val="00B7040A"/>
    <w:rsid w:val="00B70DA5"/>
    <w:rsid w:val="00B72D36"/>
    <w:rsid w:val="00B7633F"/>
    <w:rsid w:val="00B77668"/>
    <w:rsid w:val="00B81182"/>
    <w:rsid w:val="00B8300E"/>
    <w:rsid w:val="00B85D0E"/>
    <w:rsid w:val="00B92EB5"/>
    <w:rsid w:val="00BA60D0"/>
    <w:rsid w:val="00BA6B4B"/>
    <w:rsid w:val="00BB02AD"/>
    <w:rsid w:val="00BB20BD"/>
    <w:rsid w:val="00BB23E7"/>
    <w:rsid w:val="00BC0C86"/>
    <w:rsid w:val="00BC3748"/>
    <w:rsid w:val="00BC4560"/>
    <w:rsid w:val="00BC78F3"/>
    <w:rsid w:val="00BC7C19"/>
    <w:rsid w:val="00BE4A09"/>
    <w:rsid w:val="00BF57BF"/>
    <w:rsid w:val="00BF67B4"/>
    <w:rsid w:val="00C04121"/>
    <w:rsid w:val="00C11CAC"/>
    <w:rsid w:val="00C14A2D"/>
    <w:rsid w:val="00C20B06"/>
    <w:rsid w:val="00C23BB4"/>
    <w:rsid w:val="00C24A58"/>
    <w:rsid w:val="00C30651"/>
    <w:rsid w:val="00C34C20"/>
    <w:rsid w:val="00C3538A"/>
    <w:rsid w:val="00C3795A"/>
    <w:rsid w:val="00C47D3B"/>
    <w:rsid w:val="00C5135B"/>
    <w:rsid w:val="00C54BD6"/>
    <w:rsid w:val="00C57C77"/>
    <w:rsid w:val="00C63681"/>
    <w:rsid w:val="00C6506B"/>
    <w:rsid w:val="00C6634E"/>
    <w:rsid w:val="00C67A9D"/>
    <w:rsid w:val="00C67DCF"/>
    <w:rsid w:val="00C70073"/>
    <w:rsid w:val="00C73C6D"/>
    <w:rsid w:val="00C74A68"/>
    <w:rsid w:val="00C74EC8"/>
    <w:rsid w:val="00C76093"/>
    <w:rsid w:val="00C80629"/>
    <w:rsid w:val="00C80B59"/>
    <w:rsid w:val="00C84096"/>
    <w:rsid w:val="00C86A98"/>
    <w:rsid w:val="00C8768D"/>
    <w:rsid w:val="00C91E97"/>
    <w:rsid w:val="00C9401B"/>
    <w:rsid w:val="00CA08D7"/>
    <w:rsid w:val="00CA6AD3"/>
    <w:rsid w:val="00CB04DD"/>
    <w:rsid w:val="00CB20F3"/>
    <w:rsid w:val="00CC1E7D"/>
    <w:rsid w:val="00CC24BD"/>
    <w:rsid w:val="00CC2956"/>
    <w:rsid w:val="00CC4A19"/>
    <w:rsid w:val="00CC558B"/>
    <w:rsid w:val="00CC7EA9"/>
    <w:rsid w:val="00CD0B8D"/>
    <w:rsid w:val="00CD3E0C"/>
    <w:rsid w:val="00CE134D"/>
    <w:rsid w:val="00CE67CB"/>
    <w:rsid w:val="00CF75DF"/>
    <w:rsid w:val="00D04239"/>
    <w:rsid w:val="00D06E19"/>
    <w:rsid w:val="00D10A25"/>
    <w:rsid w:val="00D11DA8"/>
    <w:rsid w:val="00D21020"/>
    <w:rsid w:val="00D255E0"/>
    <w:rsid w:val="00D346FC"/>
    <w:rsid w:val="00D417FB"/>
    <w:rsid w:val="00D41E55"/>
    <w:rsid w:val="00D43B8C"/>
    <w:rsid w:val="00D45920"/>
    <w:rsid w:val="00D45BC6"/>
    <w:rsid w:val="00D469A1"/>
    <w:rsid w:val="00D47810"/>
    <w:rsid w:val="00D50EB2"/>
    <w:rsid w:val="00D53F3C"/>
    <w:rsid w:val="00D61813"/>
    <w:rsid w:val="00D64F8B"/>
    <w:rsid w:val="00D70454"/>
    <w:rsid w:val="00D71B45"/>
    <w:rsid w:val="00D7223F"/>
    <w:rsid w:val="00D726D0"/>
    <w:rsid w:val="00D75B8F"/>
    <w:rsid w:val="00D75E24"/>
    <w:rsid w:val="00D767CE"/>
    <w:rsid w:val="00D777CF"/>
    <w:rsid w:val="00D778EF"/>
    <w:rsid w:val="00D80D2B"/>
    <w:rsid w:val="00D90A5B"/>
    <w:rsid w:val="00D90DC8"/>
    <w:rsid w:val="00D9480D"/>
    <w:rsid w:val="00D9581D"/>
    <w:rsid w:val="00D97C22"/>
    <w:rsid w:val="00DA17D4"/>
    <w:rsid w:val="00DA571D"/>
    <w:rsid w:val="00DA7EB0"/>
    <w:rsid w:val="00DB0D5E"/>
    <w:rsid w:val="00DB1A68"/>
    <w:rsid w:val="00DB6C87"/>
    <w:rsid w:val="00DC4FB5"/>
    <w:rsid w:val="00DC654B"/>
    <w:rsid w:val="00DD4E6C"/>
    <w:rsid w:val="00DE4B20"/>
    <w:rsid w:val="00DF33E9"/>
    <w:rsid w:val="00E058E4"/>
    <w:rsid w:val="00E14298"/>
    <w:rsid w:val="00E16985"/>
    <w:rsid w:val="00E22ED4"/>
    <w:rsid w:val="00E279F8"/>
    <w:rsid w:val="00E34DC9"/>
    <w:rsid w:val="00E40A1A"/>
    <w:rsid w:val="00E41D3B"/>
    <w:rsid w:val="00E437B7"/>
    <w:rsid w:val="00E4497E"/>
    <w:rsid w:val="00E54981"/>
    <w:rsid w:val="00E554EA"/>
    <w:rsid w:val="00E55679"/>
    <w:rsid w:val="00E556D0"/>
    <w:rsid w:val="00E55A5D"/>
    <w:rsid w:val="00E55E97"/>
    <w:rsid w:val="00E561F1"/>
    <w:rsid w:val="00E61679"/>
    <w:rsid w:val="00E668E6"/>
    <w:rsid w:val="00E71185"/>
    <w:rsid w:val="00E7365B"/>
    <w:rsid w:val="00E76581"/>
    <w:rsid w:val="00E8011A"/>
    <w:rsid w:val="00E81530"/>
    <w:rsid w:val="00E84309"/>
    <w:rsid w:val="00E84FE5"/>
    <w:rsid w:val="00E852B6"/>
    <w:rsid w:val="00E871F1"/>
    <w:rsid w:val="00E97F4D"/>
    <w:rsid w:val="00EA0B28"/>
    <w:rsid w:val="00EA1938"/>
    <w:rsid w:val="00EA3251"/>
    <w:rsid w:val="00EA3E59"/>
    <w:rsid w:val="00EA3E61"/>
    <w:rsid w:val="00EA43CE"/>
    <w:rsid w:val="00EB179F"/>
    <w:rsid w:val="00EC18A4"/>
    <w:rsid w:val="00EC21E8"/>
    <w:rsid w:val="00EC7766"/>
    <w:rsid w:val="00ED210B"/>
    <w:rsid w:val="00ED71A3"/>
    <w:rsid w:val="00EE3441"/>
    <w:rsid w:val="00EE3876"/>
    <w:rsid w:val="00EE3A11"/>
    <w:rsid w:val="00EE720B"/>
    <w:rsid w:val="00EF1036"/>
    <w:rsid w:val="00EF35A3"/>
    <w:rsid w:val="00EF506E"/>
    <w:rsid w:val="00F04978"/>
    <w:rsid w:val="00F055F4"/>
    <w:rsid w:val="00F104E6"/>
    <w:rsid w:val="00F11B96"/>
    <w:rsid w:val="00F1266B"/>
    <w:rsid w:val="00F17A11"/>
    <w:rsid w:val="00F17CF0"/>
    <w:rsid w:val="00F275FC"/>
    <w:rsid w:val="00F33DFB"/>
    <w:rsid w:val="00F36339"/>
    <w:rsid w:val="00F36CD7"/>
    <w:rsid w:val="00F36E3D"/>
    <w:rsid w:val="00F555E4"/>
    <w:rsid w:val="00F6467F"/>
    <w:rsid w:val="00F6737E"/>
    <w:rsid w:val="00F72477"/>
    <w:rsid w:val="00F7563A"/>
    <w:rsid w:val="00F7619B"/>
    <w:rsid w:val="00F763F4"/>
    <w:rsid w:val="00F800F7"/>
    <w:rsid w:val="00F81143"/>
    <w:rsid w:val="00F836D0"/>
    <w:rsid w:val="00F83E3C"/>
    <w:rsid w:val="00F861D2"/>
    <w:rsid w:val="00FA3062"/>
    <w:rsid w:val="00FB4F1D"/>
    <w:rsid w:val="00FC3D4A"/>
    <w:rsid w:val="00FC452F"/>
    <w:rsid w:val="00FC642D"/>
    <w:rsid w:val="00FD24EA"/>
    <w:rsid w:val="00FD5105"/>
    <w:rsid w:val="00FE186B"/>
    <w:rsid w:val="00FE3B88"/>
    <w:rsid w:val="00FE6668"/>
    <w:rsid w:val="00FE6E6A"/>
    <w:rsid w:val="00FF31E9"/>
    <w:rsid w:val="00FF357F"/>
    <w:rsid w:val="00FF49D5"/>
    <w:rsid w:val="00FF6998"/>
    <w:rsid w:val="2D2514E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CA33F"/>
  <w15:chartTrackingRefBased/>
  <w15:docId w15:val="{D1042A39-ABEB-4A8C-ACCC-5D2F3012D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0A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C0A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C0A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0A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0A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0A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0A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0A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0A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A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C0A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C0A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0A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0A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0A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0A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0A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0A20"/>
    <w:rPr>
      <w:rFonts w:eastAsiaTheme="majorEastAsia" w:cstheme="majorBidi"/>
      <w:color w:val="272727" w:themeColor="text1" w:themeTint="D8"/>
    </w:rPr>
  </w:style>
  <w:style w:type="paragraph" w:styleId="Title">
    <w:name w:val="Title"/>
    <w:basedOn w:val="Normal"/>
    <w:next w:val="Normal"/>
    <w:link w:val="TitleChar"/>
    <w:uiPriority w:val="10"/>
    <w:qFormat/>
    <w:rsid w:val="005C0A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A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A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0A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0A20"/>
    <w:pPr>
      <w:spacing w:before="160"/>
      <w:jc w:val="center"/>
    </w:pPr>
    <w:rPr>
      <w:i/>
      <w:iCs/>
      <w:color w:val="404040" w:themeColor="text1" w:themeTint="BF"/>
    </w:rPr>
  </w:style>
  <w:style w:type="character" w:customStyle="1" w:styleId="QuoteChar">
    <w:name w:val="Quote Char"/>
    <w:basedOn w:val="DefaultParagraphFont"/>
    <w:link w:val="Quote"/>
    <w:uiPriority w:val="29"/>
    <w:rsid w:val="005C0A20"/>
    <w:rPr>
      <w:i/>
      <w:iCs/>
      <w:color w:val="404040" w:themeColor="text1" w:themeTint="BF"/>
    </w:rPr>
  </w:style>
  <w:style w:type="paragraph" w:styleId="ListParagraph">
    <w:name w:val="List Paragraph"/>
    <w:aliases w:val="List bullet"/>
    <w:basedOn w:val="Normal"/>
    <w:uiPriority w:val="34"/>
    <w:qFormat/>
    <w:rsid w:val="005C0A20"/>
    <w:pPr>
      <w:ind w:left="720"/>
      <w:contextualSpacing/>
    </w:pPr>
  </w:style>
  <w:style w:type="character" w:styleId="IntenseEmphasis">
    <w:name w:val="Intense Emphasis"/>
    <w:basedOn w:val="DefaultParagraphFont"/>
    <w:uiPriority w:val="21"/>
    <w:qFormat/>
    <w:rsid w:val="005C0A20"/>
    <w:rPr>
      <w:i/>
      <w:iCs/>
      <w:color w:val="0F4761" w:themeColor="accent1" w:themeShade="BF"/>
    </w:rPr>
  </w:style>
  <w:style w:type="paragraph" w:styleId="IntenseQuote">
    <w:name w:val="Intense Quote"/>
    <w:basedOn w:val="Normal"/>
    <w:next w:val="Normal"/>
    <w:link w:val="IntenseQuoteChar"/>
    <w:uiPriority w:val="30"/>
    <w:qFormat/>
    <w:rsid w:val="005C0A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0A20"/>
    <w:rPr>
      <w:i/>
      <w:iCs/>
      <w:color w:val="0F4761" w:themeColor="accent1" w:themeShade="BF"/>
    </w:rPr>
  </w:style>
  <w:style w:type="character" w:styleId="IntenseReference">
    <w:name w:val="Intense Reference"/>
    <w:basedOn w:val="DefaultParagraphFont"/>
    <w:uiPriority w:val="32"/>
    <w:qFormat/>
    <w:rsid w:val="005C0A20"/>
    <w:rPr>
      <w:b/>
      <w:bCs/>
      <w:smallCaps/>
      <w:color w:val="0F4761" w:themeColor="accent1" w:themeShade="BF"/>
      <w:spacing w:val="5"/>
    </w:rPr>
  </w:style>
  <w:style w:type="paragraph" w:customStyle="1" w:styleId="p1">
    <w:name w:val="p1"/>
    <w:basedOn w:val="Normal"/>
    <w:rsid w:val="005C0A20"/>
    <w:pPr>
      <w:spacing w:after="0" w:line="240" w:lineRule="auto"/>
    </w:pPr>
    <w:rPr>
      <w:rFonts w:ascii="Helvetica" w:eastAsia="Times New Roman" w:hAnsi="Helvetica" w:cs="Times New Roman"/>
      <w:color w:val="000000"/>
      <w:kern w:val="0"/>
      <w:sz w:val="13"/>
      <w:szCs w:val="13"/>
      <w:lang w:eastAsia="en-GB"/>
      <w14:ligatures w14:val="none"/>
    </w:rPr>
  </w:style>
  <w:style w:type="character" w:customStyle="1" w:styleId="apple-converted-space">
    <w:name w:val="apple-converted-space"/>
    <w:basedOn w:val="DefaultParagraphFont"/>
    <w:rsid w:val="005C0A20"/>
  </w:style>
  <w:style w:type="character" w:customStyle="1" w:styleId="s1">
    <w:name w:val="s1"/>
    <w:basedOn w:val="DefaultParagraphFont"/>
    <w:rsid w:val="00137E64"/>
    <w:rPr>
      <w:rFonts w:ascii="Helvetica" w:hAnsi="Helvetica" w:hint="default"/>
      <w:sz w:val="8"/>
      <w:szCs w:val="8"/>
    </w:rPr>
  </w:style>
  <w:style w:type="character" w:styleId="CommentReference">
    <w:name w:val="annotation reference"/>
    <w:basedOn w:val="DefaultParagraphFont"/>
    <w:uiPriority w:val="99"/>
    <w:semiHidden/>
    <w:unhideWhenUsed/>
    <w:rsid w:val="00C47D3B"/>
    <w:rPr>
      <w:sz w:val="16"/>
      <w:szCs w:val="16"/>
    </w:rPr>
  </w:style>
  <w:style w:type="paragraph" w:styleId="CommentText">
    <w:name w:val="annotation text"/>
    <w:basedOn w:val="Normal"/>
    <w:link w:val="CommentTextChar"/>
    <w:uiPriority w:val="99"/>
    <w:semiHidden/>
    <w:unhideWhenUsed/>
    <w:rsid w:val="00C47D3B"/>
    <w:pPr>
      <w:spacing w:line="240" w:lineRule="auto"/>
    </w:pPr>
    <w:rPr>
      <w:sz w:val="20"/>
      <w:szCs w:val="20"/>
    </w:rPr>
  </w:style>
  <w:style w:type="character" w:customStyle="1" w:styleId="CommentTextChar">
    <w:name w:val="Comment Text Char"/>
    <w:basedOn w:val="DefaultParagraphFont"/>
    <w:link w:val="CommentText"/>
    <w:uiPriority w:val="99"/>
    <w:semiHidden/>
    <w:rsid w:val="00C47D3B"/>
    <w:rPr>
      <w:sz w:val="20"/>
      <w:szCs w:val="20"/>
    </w:rPr>
  </w:style>
  <w:style w:type="paragraph" w:styleId="CommentSubject">
    <w:name w:val="annotation subject"/>
    <w:basedOn w:val="CommentText"/>
    <w:next w:val="CommentText"/>
    <w:link w:val="CommentSubjectChar"/>
    <w:uiPriority w:val="99"/>
    <w:semiHidden/>
    <w:unhideWhenUsed/>
    <w:rsid w:val="00C47D3B"/>
    <w:rPr>
      <w:b/>
      <w:bCs/>
    </w:rPr>
  </w:style>
  <w:style w:type="character" w:customStyle="1" w:styleId="CommentSubjectChar">
    <w:name w:val="Comment Subject Char"/>
    <w:basedOn w:val="CommentTextChar"/>
    <w:link w:val="CommentSubject"/>
    <w:uiPriority w:val="99"/>
    <w:semiHidden/>
    <w:rsid w:val="00C47D3B"/>
    <w:rPr>
      <w:b/>
      <w:bCs/>
      <w:sz w:val="20"/>
      <w:szCs w:val="20"/>
    </w:rPr>
  </w:style>
  <w:style w:type="paragraph" w:customStyle="1" w:styleId="p2">
    <w:name w:val="p2"/>
    <w:basedOn w:val="Normal"/>
    <w:rsid w:val="005E6F74"/>
    <w:pPr>
      <w:spacing w:after="0" w:line="240" w:lineRule="auto"/>
    </w:pPr>
    <w:rPr>
      <w:rFonts w:ascii="Helvetica" w:eastAsia="Times New Roman" w:hAnsi="Helvetica" w:cs="Times New Roman"/>
      <w:color w:val="3E4F58"/>
      <w:kern w:val="0"/>
      <w:sz w:val="13"/>
      <w:szCs w:val="13"/>
      <w:lang w:eastAsia="en-GB"/>
      <w14:ligatures w14:val="none"/>
    </w:rPr>
  </w:style>
  <w:style w:type="paragraph" w:customStyle="1" w:styleId="p3">
    <w:name w:val="p3"/>
    <w:basedOn w:val="Normal"/>
    <w:rsid w:val="005E6F74"/>
    <w:pPr>
      <w:spacing w:after="0" w:line="240" w:lineRule="auto"/>
    </w:pPr>
    <w:rPr>
      <w:rFonts w:ascii="Helvetica" w:eastAsia="Times New Roman" w:hAnsi="Helvetica" w:cs="Times New Roman"/>
      <w:color w:val="000000"/>
      <w:kern w:val="0"/>
      <w:sz w:val="10"/>
      <w:szCs w:val="10"/>
      <w:lang w:eastAsia="en-GB"/>
      <w14:ligatures w14:val="none"/>
    </w:rPr>
  </w:style>
  <w:style w:type="paragraph" w:customStyle="1" w:styleId="p4">
    <w:name w:val="p4"/>
    <w:basedOn w:val="Normal"/>
    <w:rsid w:val="005E6F74"/>
    <w:pPr>
      <w:spacing w:after="0" w:line="240" w:lineRule="auto"/>
    </w:pPr>
    <w:rPr>
      <w:rFonts w:ascii="Helvetica" w:eastAsia="Times New Roman" w:hAnsi="Helvetica" w:cs="Times New Roman"/>
      <w:color w:val="010000"/>
      <w:kern w:val="0"/>
      <w:sz w:val="10"/>
      <w:szCs w:val="10"/>
      <w:lang w:eastAsia="en-GB"/>
      <w14:ligatures w14:val="none"/>
    </w:rPr>
  </w:style>
  <w:style w:type="character" w:styleId="Strong">
    <w:name w:val="Strong"/>
    <w:basedOn w:val="DefaultParagraphFont"/>
    <w:uiPriority w:val="22"/>
    <w:qFormat/>
    <w:rsid w:val="004350A3"/>
    <w:rPr>
      <w:b/>
      <w:bCs/>
    </w:rPr>
  </w:style>
  <w:style w:type="paragraph" w:styleId="NormalWeb">
    <w:name w:val="Normal (Web)"/>
    <w:basedOn w:val="Normal"/>
    <w:uiPriority w:val="99"/>
    <w:semiHidden/>
    <w:unhideWhenUsed/>
    <w:rsid w:val="004350A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4350A3"/>
    <w:rPr>
      <w:color w:val="0000FF"/>
      <w:u w:val="single"/>
    </w:rPr>
  </w:style>
  <w:style w:type="character" w:customStyle="1" w:styleId="item-category">
    <w:name w:val="item-category"/>
    <w:basedOn w:val="DefaultParagraphFont"/>
    <w:rsid w:val="004350A3"/>
  </w:style>
  <w:style w:type="paragraph" w:styleId="Header">
    <w:name w:val="header"/>
    <w:basedOn w:val="Normal"/>
    <w:link w:val="HeaderChar"/>
    <w:uiPriority w:val="99"/>
    <w:unhideWhenUsed/>
    <w:rsid w:val="00B615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158B"/>
  </w:style>
  <w:style w:type="paragraph" w:styleId="Footer">
    <w:name w:val="footer"/>
    <w:basedOn w:val="Normal"/>
    <w:link w:val="FooterChar"/>
    <w:uiPriority w:val="99"/>
    <w:unhideWhenUsed/>
    <w:rsid w:val="00B615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158B"/>
  </w:style>
  <w:style w:type="paragraph" w:styleId="FootnoteText">
    <w:name w:val="footnote text"/>
    <w:basedOn w:val="Normal"/>
    <w:link w:val="FootnoteTextChar"/>
    <w:uiPriority w:val="99"/>
    <w:semiHidden/>
    <w:unhideWhenUsed/>
    <w:rsid w:val="00B615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158B"/>
    <w:rPr>
      <w:sz w:val="20"/>
      <w:szCs w:val="20"/>
    </w:rPr>
  </w:style>
  <w:style w:type="character" w:styleId="FootnoteReference">
    <w:name w:val="footnote reference"/>
    <w:basedOn w:val="DefaultParagraphFont"/>
    <w:uiPriority w:val="99"/>
    <w:semiHidden/>
    <w:unhideWhenUsed/>
    <w:rsid w:val="00B6158B"/>
    <w:rPr>
      <w:vertAlign w:val="superscript"/>
    </w:rPr>
  </w:style>
  <w:style w:type="numbering" w:customStyle="1" w:styleId="CurrentList1">
    <w:name w:val="Current List1"/>
    <w:uiPriority w:val="99"/>
    <w:rsid w:val="00EC21E8"/>
    <w:pPr>
      <w:numPr>
        <w:numId w:val="14"/>
      </w:numPr>
    </w:pPr>
  </w:style>
  <w:style w:type="paragraph" w:customStyle="1" w:styleId="INTERNALCOMMheading">
    <w:name w:val="INTERNAL COMM heading"/>
    <w:qFormat/>
    <w:rsid w:val="009812F4"/>
    <w:pPr>
      <w:spacing w:after="0" w:line="240" w:lineRule="auto"/>
    </w:pPr>
    <w:rPr>
      <w:rFonts w:ascii="Arial" w:eastAsiaTheme="minorEastAsia" w:hAnsi="Arial" w:cs="Arial"/>
      <w:color w:val="071637"/>
      <w:spacing w:val="40"/>
      <w:sz w:val="28"/>
      <w:szCs w:val="28"/>
    </w:rPr>
  </w:style>
  <w:style w:type="table" w:styleId="TableGrid">
    <w:name w:val="Table Grid"/>
    <w:basedOn w:val="TableNormal"/>
    <w:uiPriority w:val="39"/>
    <w:rsid w:val="009812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tl/t-qlW3ot22J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0de2b35-b420-4cc4-9194-cd4c8288d32d" xsi:nil="true"/>
    <lcf76f155ced4ddcb4097134ff3c332f xmlns="b28f926b-bb89-4ca6-97d4-91b13a262045">
      <Terms xmlns="http://schemas.microsoft.com/office/infopath/2007/PartnerControls"/>
    </lcf76f155ced4ddcb4097134ff3c332f>
    <Thumbnail xmlns="b28f926b-bb89-4ca6-97d4-91b13a26204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30778EDA459F94F958FE17ABF6052AD" ma:contentTypeVersion="23" ma:contentTypeDescription="Create a new document." ma:contentTypeScope="" ma:versionID="8d57dbd66b2ca6d29cf6b21eece8ed47">
  <xsd:schema xmlns:xsd="http://www.w3.org/2001/XMLSchema" xmlns:xs="http://www.w3.org/2001/XMLSchema" xmlns:p="http://schemas.microsoft.com/office/2006/metadata/properties" xmlns:ns2="b28f926b-bb89-4ca6-97d4-91b13a262045" xmlns:ns3="00de2b35-b420-4cc4-9194-cd4c8288d32d" targetNamespace="http://schemas.microsoft.com/office/2006/metadata/properties" ma:root="true" ma:fieldsID="4a2349bb742d35f8c65f03c34257b27e" ns2:_="" ns3:_="">
    <xsd:import namespace="b28f926b-bb89-4ca6-97d4-91b13a262045"/>
    <xsd:import namespace="00de2b35-b420-4cc4-9194-cd4c8288d32d"/>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Thumbnail" minOccurs="0"/>
                <xsd:element ref="ns2:MediaLengthInSeconds"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8f926b-bb89-4ca6-97d4-91b13a2620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Thumbnail" ma:index="16" nillable="true" ma:displayName="Thumbnail" ma:format="Dropdown" ma:internalName="Thumbnail">
      <xsd:simpleType>
        <xsd:restriction base="dms:Text">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d712a79-e603-4bdd-9023-7cefe7239e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e2b35-b420-4cc4-9194-cd4c8288d32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4cd3810-7a1d-4b5d-ab19-b50308217dee}" ma:internalName="TaxCatchAll" ma:showField="CatchAllData" ma:web="00de2b35-b420-4cc4-9194-cd4c8288d3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5AE018-6BDA-7B49-BB2D-716DB711A201}">
  <ds:schemaRefs>
    <ds:schemaRef ds:uri="http://schemas.openxmlformats.org/officeDocument/2006/bibliography"/>
  </ds:schemaRefs>
</ds:datastoreItem>
</file>

<file path=customXml/itemProps2.xml><?xml version="1.0" encoding="utf-8"?>
<ds:datastoreItem xmlns:ds="http://schemas.openxmlformats.org/officeDocument/2006/customXml" ds:itemID="{F7959C37-4987-4608-85F5-716FCD7D686E}">
  <ds:schemaRefs>
    <ds:schemaRef ds:uri="http://schemas.microsoft.com/office/2006/metadata/properties"/>
    <ds:schemaRef ds:uri="http://schemas.microsoft.com/office/infopath/2007/PartnerControls"/>
    <ds:schemaRef ds:uri="52d13578-b71a-4c63-86a8-cfb255c3112d"/>
    <ds:schemaRef ds:uri="76beb270-e269-4394-af06-8001a849d10e"/>
  </ds:schemaRefs>
</ds:datastoreItem>
</file>

<file path=customXml/itemProps3.xml><?xml version="1.0" encoding="utf-8"?>
<ds:datastoreItem xmlns:ds="http://schemas.openxmlformats.org/officeDocument/2006/customXml" ds:itemID="{57DD385B-651F-4DB7-837D-17784609D6C9}">
  <ds:schemaRefs>
    <ds:schemaRef ds:uri="http://schemas.microsoft.com/sharepoint/v3/contenttype/forms"/>
  </ds:schemaRefs>
</ds:datastoreItem>
</file>

<file path=customXml/itemProps4.xml><?xml version="1.0" encoding="utf-8"?>
<ds:datastoreItem xmlns:ds="http://schemas.openxmlformats.org/officeDocument/2006/customXml" ds:itemID="{00E49222-CD9B-44E6-813F-F1D933415A7E}"/>
</file>

<file path=docProps/app.xml><?xml version="1.0" encoding="utf-8"?>
<Properties xmlns="http://schemas.openxmlformats.org/officeDocument/2006/extended-properties" xmlns:vt="http://schemas.openxmlformats.org/officeDocument/2006/docPropsVTypes">
  <Template>Normal</Template>
  <TotalTime>1</TotalTime>
  <Pages>2</Pages>
  <Words>1289</Words>
  <Characters>7352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2025-10-07T08:19:00Z</dcterms:created>
  <dcterms:modified xsi:type="dcterms:W3CDTF">2025-10-07T08:21:00Z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0x010100430778EDA459F94F958FE17ABF6052AD</vt:lpwstr>
  </property>
</Properties>
</file>